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margin" w:tblpY="63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712980" w:rsidTr="00712980">
        <w:trPr>
          <w:trHeight w:val="2150"/>
        </w:trPr>
        <w:tc>
          <w:tcPr>
            <w:tcW w:w="5760" w:type="dxa"/>
            <w:tcBorders>
              <w:top w:val="nil"/>
              <w:left w:val="nil"/>
              <w:bottom w:val="nil"/>
              <w:right w:val="nil"/>
            </w:tcBorders>
            <w:vAlign w:val="center"/>
          </w:tcPr>
          <w:p w:rsidR="00712980" w:rsidRPr="00712980" w:rsidRDefault="00712980" w:rsidP="00712980">
            <w:pPr>
              <w:pStyle w:val="Title"/>
              <w:framePr w:hSpace="0" w:wrap="auto" w:vAnchor="margin" w:xAlign="left" w:yAlign="inline"/>
              <w:jc w:val="center"/>
              <w:rPr>
                <w:sz w:val="76"/>
                <w:szCs w:val="76"/>
              </w:rPr>
            </w:pPr>
            <w:r w:rsidRPr="00712980">
              <w:rPr>
                <w:sz w:val="76"/>
                <w:szCs w:val="76"/>
              </w:rPr>
              <w:t>CAPNM FOUR COUNTY REPORT</w:t>
            </w:r>
          </w:p>
          <w:p w:rsidR="00712980" w:rsidRPr="001E59F3" w:rsidRDefault="00712980" w:rsidP="00712980">
            <w:pPr>
              <w:pStyle w:val="Title"/>
              <w:framePr w:hSpace="0" w:wrap="auto" w:vAnchor="margin" w:xAlign="left" w:yAlign="inline"/>
              <w:jc w:val="center"/>
            </w:pPr>
            <w:r w:rsidRPr="00712980">
              <w:rPr>
                <w:sz w:val="76"/>
                <w:szCs w:val="76"/>
              </w:rPr>
              <w:t>2018</w:t>
            </w:r>
          </w:p>
        </w:tc>
      </w:tr>
    </w:tbl>
    <w:p w:rsidR="001E59F3" w:rsidRDefault="00712980" w:rsidP="00A91D75">
      <w:r w:rsidRPr="00B54544">
        <w:rPr>
          <w:rFonts w:ascii="Calibri" w:eastAsia="Calibri" w:hAnsi="Calibri" w:cs="Times New Roman"/>
          <w:noProof/>
          <w:color w:val="auto"/>
          <w:sz w:val="22"/>
          <w:szCs w:val="22"/>
          <w:lang w:eastAsia="en-US"/>
        </w:rPr>
        <w:drawing>
          <wp:anchor distT="0" distB="0" distL="114300" distR="114300" simplePos="0" relativeHeight="251667456" behindDoc="0" locked="0" layoutInCell="1" allowOverlap="1">
            <wp:simplePos x="0" y="0"/>
            <wp:positionH relativeFrom="column">
              <wp:posOffset>5029200</wp:posOffset>
            </wp:positionH>
            <wp:positionV relativeFrom="paragraph">
              <wp:posOffset>1809750</wp:posOffset>
            </wp:positionV>
            <wp:extent cx="1257300" cy="1257300"/>
            <wp:effectExtent l="0" t="0" r="0" b="0"/>
            <wp:wrapNone/>
            <wp:docPr id="21" name="Picture 21" descr="Image result for sanders county monta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sanders county montana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E70" w:rsidRPr="00CA4E70">
        <w:rPr>
          <w:noProof/>
          <w:sz w:val="80"/>
          <w:szCs w:val="80"/>
          <w:lang w:eastAsia="en-US"/>
        </w:rPr>
        <mc:AlternateContent>
          <mc:Choice Requires="wps">
            <w:drawing>
              <wp:anchor distT="0" distB="0" distL="114300" distR="114300" simplePos="0" relativeHeight="251665408" behindDoc="1" locked="0" layoutInCell="1" allowOverlap="1" wp14:anchorId="03A44535" wp14:editId="4FFFA1CC">
                <wp:simplePos x="0" y="0"/>
                <wp:positionH relativeFrom="column">
                  <wp:posOffset>-714376</wp:posOffset>
                </wp:positionH>
                <wp:positionV relativeFrom="page">
                  <wp:posOffset>4352925</wp:posOffset>
                </wp:positionV>
                <wp:extent cx="5534025" cy="2647950"/>
                <wp:effectExtent l="0" t="0" r="9525"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5534025" cy="2647950"/>
                        </a:xfrm>
                        <a:prstGeom prst="snip1Rect">
                          <a:avLst>
                            <a:gd name="adj" fmla="val 47819"/>
                          </a:avLst>
                        </a:prstGeom>
                        <a:solidFill>
                          <a:srgbClr val="0F872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7BB89" id="Rectangle: Single Corner Snipped 4" o:spid="_x0000_s1026" alt="colored rectangle" style="position:absolute;margin-left:-56.25pt;margin-top:342.75pt;width:435.75pt;height:208.5p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534025,264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" path="m,l4267802,,5534025,1266223r,1381727l,2647950,,xe" fillcolor="#0f8723" stroked="f">
                <v:path arrowok="t" o:connecttype="custom" o:connectlocs="0,0;4267802,0;5534025,1266223;5534025,2647950;0,2647950;0,0" o:connectangles="0,0,0,0,0,0"/>
                <w10:wrap anchory="page"/>
              </v:shape>
            </w:pict>
          </mc:Fallback>
        </mc:AlternateContent>
      </w:r>
      <w:r w:rsidR="00CA4E70">
        <w:rPr>
          <w:noProof/>
          <w:lang w:eastAsia="en-US"/>
        </w:rPr>
        <mc:AlternateContent>
          <mc:Choice Requires="wps">
            <w:drawing>
              <wp:anchor distT="0" distB="0" distL="114300" distR="114300" simplePos="0" relativeHeight="251657216" behindDoc="1" locked="0" layoutInCell="1" allowOverlap="1" wp14:anchorId="6B8171AB" wp14:editId="5FF2ABC0">
                <wp:simplePos x="0" y="0"/>
                <wp:positionH relativeFrom="column">
                  <wp:posOffset>-733425</wp:posOffset>
                </wp:positionH>
                <wp:positionV relativeFrom="page">
                  <wp:posOffset>19050</wp:posOffset>
                </wp:positionV>
                <wp:extent cx="7743825" cy="4238625"/>
                <wp:effectExtent l="0" t="0" r="9525" b="9525"/>
                <wp:wrapNone/>
                <wp:docPr id="2" name="Rectangle 2" descr="colored rectangle"/>
                <wp:cNvGraphicFramePr/>
                <a:graphic xmlns:a="http://schemas.openxmlformats.org/drawingml/2006/main">
                  <a:graphicData uri="http://schemas.microsoft.com/office/word/2010/wordprocessingShape">
                    <wps:wsp>
                      <wps:cNvSpPr/>
                      <wps:spPr>
                        <a:xfrm>
                          <a:off x="0" y="0"/>
                          <a:ext cx="7743825" cy="4238625"/>
                        </a:xfrm>
                        <a:prstGeom prst="rect">
                          <a:avLst/>
                        </a:prstGeom>
                        <a:solidFill>
                          <a:srgbClr val="0A091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C588C" id="Rectangle 2" o:spid="_x0000_s1026" alt="colored rectangle" style="position:absolute;margin-left:-57.75pt;margin-top:1.5pt;width:609.75pt;height:3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" fillcolor="#0a0911" stroked="f" strokeweight="2pt">
                <w10:wrap anchory="page"/>
              </v:rect>
            </w:pict>
          </mc:Fallback>
        </mc:AlternateContent>
      </w:r>
      <w:r w:rsidR="00CA4E70">
        <w:rPr>
          <w:noProof/>
          <w:lang w:eastAsia="en-US"/>
        </w:rPr>
        <w:drawing>
          <wp:anchor distT="0" distB="0" distL="114300" distR="114300" simplePos="0" relativeHeight="251663360" behindDoc="0" locked="0" layoutInCell="1" allowOverlap="1">
            <wp:simplePos x="0" y="0"/>
            <wp:positionH relativeFrom="column">
              <wp:posOffset>-285750</wp:posOffset>
            </wp:positionH>
            <wp:positionV relativeFrom="paragraph">
              <wp:posOffset>95250</wp:posOffset>
            </wp:positionV>
            <wp:extent cx="1304925" cy="1304925"/>
            <wp:effectExtent l="0" t="0" r="9525" b="9525"/>
            <wp:wrapNone/>
            <wp:docPr id="18" name="Picture 18" descr="http://tse1.mm.bing.net/th?&amp;id=OIP.Me91128cca1e86022ef6562acb15f4d05o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se1.mm.bing.net/th?&amp;id=OIP.Me91128cca1e86022ef6562acb15f4d05o0&amp;w=300&amp;h=300&amp;c=0&amp;pid=1.9&amp;rs=0&amp;p=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E70">
        <w:rPr>
          <w:rFonts w:ascii="Arial Black" w:eastAsia="Calibri" w:hAnsi="Arial Black" w:cs="Times New Roman"/>
          <w:b/>
          <w:noProof/>
          <w:color w:val="auto"/>
          <w:szCs w:val="24"/>
          <w:u w:val="single"/>
          <w:lang w:eastAsia="en-US"/>
        </w:rPr>
        <w:drawing>
          <wp:anchor distT="0" distB="0" distL="114300" distR="114300" simplePos="0" relativeHeight="251670528" behindDoc="0" locked="0" layoutInCell="1" allowOverlap="1">
            <wp:simplePos x="0" y="0"/>
            <wp:positionH relativeFrom="column">
              <wp:posOffset>-333375</wp:posOffset>
            </wp:positionH>
            <wp:positionV relativeFrom="paragraph">
              <wp:posOffset>1809750</wp:posOffset>
            </wp:positionV>
            <wp:extent cx="1419225" cy="1271361"/>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png"/>
                    <pic:cNvPicPr/>
                  </pic:nvPicPr>
                  <pic:blipFill>
                    <a:blip r:embed="rId10">
                      <a:extLst>
                        <a:ext uri="{28A0092B-C50C-407E-A947-70E740481C1C}">
                          <a14:useLocalDpi xmlns:a14="http://schemas.microsoft.com/office/drawing/2010/main" val="0"/>
                        </a:ext>
                      </a:extLst>
                    </a:blip>
                    <a:stretch>
                      <a:fillRect/>
                    </a:stretch>
                  </pic:blipFill>
                  <pic:spPr>
                    <a:xfrm>
                      <a:off x="0" y="0"/>
                      <a:ext cx="1420038" cy="1272089"/>
                    </a:xfrm>
                    <a:prstGeom prst="rect">
                      <a:avLst/>
                    </a:prstGeom>
                  </pic:spPr>
                </pic:pic>
              </a:graphicData>
            </a:graphic>
            <wp14:sizeRelH relativeFrom="page">
              <wp14:pctWidth>0</wp14:pctWidth>
            </wp14:sizeRelH>
            <wp14:sizeRelV relativeFrom="page">
              <wp14:pctHeight>0</wp14:pctHeight>
            </wp14:sizeRelV>
          </wp:anchor>
        </w:drawing>
      </w:r>
      <w:r w:rsidR="00CA4E70">
        <w:rPr>
          <w:noProof/>
          <w:lang w:eastAsia="en-US"/>
        </w:rPr>
        <w:drawing>
          <wp:anchor distT="0" distB="0" distL="114300" distR="114300" simplePos="0" relativeHeight="251661312" behindDoc="0" locked="0" layoutInCell="1" allowOverlap="1">
            <wp:simplePos x="0" y="0"/>
            <wp:positionH relativeFrom="column">
              <wp:posOffset>4773930</wp:posOffset>
            </wp:positionH>
            <wp:positionV relativeFrom="paragraph">
              <wp:posOffset>476250</wp:posOffset>
            </wp:positionV>
            <wp:extent cx="1952625" cy="463238"/>
            <wp:effectExtent l="0" t="0" r="0" b="0"/>
            <wp:wrapNone/>
            <wp:docPr id="10" name="Picture 10" descr="The Lake County 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ake County Courthou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2625" cy="463238"/>
                    </a:xfrm>
                    <a:prstGeom prst="rect">
                      <a:avLst/>
                    </a:prstGeom>
                    <a:noFill/>
                    <a:ln>
                      <a:noFill/>
                    </a:ln>
                  </pic:spPr>
                </pic:pic>
              </a:graphicData>
            </a:graphic>
            <wp14:sizeRelH relativeFrom="page">
              <wp14:pctWidth>0</wp14:pctWidth>
            </wp14:sizeRelH>
            <wp14:sizeRelV relativeFrom="page">
              <wp14:pctHeight>0</wp14:pctHeight>
            </wp14:sizeRelV>
          </wp:anchor>
        </w:drawing>
      </w:r>
      <w:r w:rsidR="00CA4E70">
        <w:rPr>
          <w:noProof/>
          <w:sz w:val="64"/>
          <w:szCs w:val="64"/>
          <w:lang w:eastAsia="en-US"/>
        </w:rPr>
        <w:drawing>
          <wp:anchor distT="0" distB="0" distL="114300" distR="114300" simplePos="0" relativeHeight="251660288" behindDoc="0" locked="0" layoutInCell="1" allowOverlap="1">
            <wp:simplePos x="0" y="0"/>
            <wp:positionH relativeFrom="column">
              <wp:posOffset>1333500</wp:posOffset>
            </wp:positionH>
            <wp:positionV relativeFrom="paragraph">
              <wp:posOffset>-95250</wp:posOffset>
            </wp:positionV>
            <wp:extent cx="3257550" cy="32575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NM New logo.jpg"/>
                    <pic:cNvPicPr/>
                  </pic:nvPicPr>
                  <pic:blipFill>
                    <a:blip r:embed="rId12">
                      <a:extLst>
                        <a:ext uri="{28A0092B-C50C-407E-A947-70E740481C1C}">
                          <a14:useLocalDpi xmlns:a14="http://schemas.microsoft.com/office/drawing/2010/main" val="0"/>
                        </a:ext>
                      </a:extLst>
                    </a:blip>
                    <a:stretch>
                      <a:fillRect/>
                    </a:stretch>
                  </pic:blipFill>
                  <pic:spPr>
                    <a:xfrm>
                      <a:off x="0" y="0"/>
                      <a:ext cx="3257550" cy="3257550"/>
                    </a:xfrm>
                    <a:prstGeom prst="rect">
                      <a:avLst/>
                    </a:prstGeom>
                  </pic:spPr>
                </pic:pic>
              </a:graphicData>
            </a:graphic>
            <wp14:sizeRelH relativeFrom="page">
              <wp14:pctWidth>0</wp14:pctWidth>
            </wp14:sizeRelH>
            <wp14:sizeRelV relativeFrom="page">
              <wp14:pctHeight>0</wp14:pctHeight>
            </wp14:sizeRelV>
          </wp:anchor>
        </w:drawing>
      </w:r>
      <w:r w:rsidR="00CA4E70">
        <w:rPr>
          <w:noProof/>
          <w:lang w:eastAsia="en-US"/>
        </w:rPr>
        <mc:AlternateContent>
          <mc:Choice Requires="wps">
            <w:drawing>
              <wp:anchor distT="0" distB="0" distL="114300" distR="114300" simplePos="0" relativeHeight="251666432" behindDoc="0" locked="0" layoutInCell="1" allowOverlap="1">
                <wp:simplePos x="0" y="0"/>
                <wp:positionH relativeFrom="column">
                  <wp:posOffset>723900</wp:posOffset>
                </wp:positionH>
                <wp:positionV relativeFrom="paragraph">
                  <wp:posOffset>6734175</wp:posOffset>
                </wp:positionV>
                <wp:extent cx="5286375" cy="67627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528637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17F5" w:rsidRPr="00B54544" w:rsidRDefault="009117F5" w:rsidP="00B54544">
                            <w:pPr>
                              <w:spacing w:after="160" w:line="259" w:lineRule="auto"/>
                              <w:contextualSpacing w:val="0"/>
                              <w:jc w:val="center"/>
                              <w:rPr>
                                <w:rFonts w:ascii="Calibri" w:eastAsia="Calibri" w:hAnsi="Calibri" w:cs="Times New Roman"/>
                                <w:b/>
                                <w:i/>
                                <w:color w:val="auto"/>
                                <w:sz w:val="28"/>
                                <w:szCs w:val="28"/>
                                <w:lang w:eastAsia="en-US"/>
                              </w:rPr>
                            </w:pPr>
                            <w:r w:rsidRPr="00B54544">
                              <w:rPr>
                                <w:rFonts w:ascii="Calibri" w:eastAsia="Calibri" w:hAnsi="Calibri" w:cs="Times New Roman"/>
                                <w:b/>
                                <w:i/>
                                <w:color w:val="auto"/>
                                <w:sz w:val="28"/>
                                <w:szCs w:val="28"/>
                                <w:lang w:eastAsia="en-US"/>
                              </w:rPr>
                              <w:t>“CAPNM provides social services and advocacy together with local partners to alleviate poverty, improve lives and strengthen our communities in Flathead, Lake, Lincoln and Sanders County”</w:t>
                            </w:r>
                          </w:p>
                          <w:p w:rsidR="009117F5" w:rsidRDefault="009117F5"/>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57pt;margin-top:530.25pt;width:416.25pt;height:53.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" filled="f" stroked="f" strokeweight=".5pt">
                <v:textbox inset="0,0,0,0">
                  <w:txbxContent>
                    <w:p w:rsidR="009117F5" w:rsidRPr="00B54544" w:rsidRDefault="009117F5" w:rsidP="00B54544">
                      <w:pPr>
                        <w:spacing w:after="160" w:line="259" w:lineRule="auto"/>
                        <w:contextualSpacing w:val="0"/>
                        <w:jc w:val="center"/>
                        <w:rPr>
                          <w:rFonts w:ascii="Calibri" w:eastAsia="Calibri" w:hAnsi="Calibri" w:cs="Times New Roman"/>
                          <w:b/>
                          <w:i/>
                          <w:color w:val="auto"/>
                          <w:sz w:val="28"/>
                          <w:szCs w:val="28"/>
                          <w:lang w:eastAsia="en-US"/>
                        </w:rPr>
                      </w:pPr>
                      <w:r w:rsidRPr="00B54544">
                        <w:rPr>
                          <w:rFonts w:ascii="Calibri" w:eastAsia="Calibri" w:hAnsi="Calibri" w:cs="Times New Roman"/>
                          <w:b/>
                          <w:i/>
                          <w:color w:val="auto"/>
                          <w:sz w:val="28"/>
                          <w:szCs w:val="28"/>
                          <w:lang w:eastAsia="en-US"/>
                        </w:rPr>
                        <w:t>“CAPNM provides social services and advocacy together with local partners to alleviate poverty, improve lives and strengthen our communities in Flathead, Lake, Lincoln and Sanders County”</w:t>
                      </w:r>
                    </w:p>
                    <w:p w:rsidR="009117F5" w:rsidRDefault="009117F5"/>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9735"/>
        <w:gridCol w:w="117"/>
        <w:gridCol w:w="138"/>
      </w:tblGrid>
      <w:tr w:rsidR="00B54544" w:rsidTr="00C6323A">
        <w:trPr>
          <w:trHeight w:val="358"/>
        </w:trPr>
        <w:tc>
          <w:tcPr>
            <w:tcW w:w="3567" w:type="dxa"/>
          </w:tcPr>
          <w:p w:rsidR="00A91D75" w:rsidRDefault="00A91D75" w:rsidP="00A91D75">
            <w:r>
              <w:rPr>
                <w:noProof/>
                <w:lang w:eastAsia="en-US"/>
              </w:rPr>
              <mc:AlternateContent>
                <mc:Choice Requires="wps">
                  <w:drawing>
                    <wp:inline distT="0" distB="0" distL="0" distR="0" wp14:anchorId="43246454" wp14:editId="6629C853">
                      <wp:extent cx="6181725" cy="381000"/>
                      <wp:effectExtent l="0" t="0" r="0" b="0"/>
                      <wp:docPr id="6" name="Text Box 6"/>
                      <wp:cNvGraphicFramePr/>
                      <a:graphic xmlns:a="http://schemas.openxmlformats.org/drawingml/2006/main">
                        <a:graphicData uri="http://schemas.microsoft.com/office/word/2010/wordprocessingShape">
                          <wps:wsp>
                            <wps:cNvSpPr txBox="1"/>
                            <wps:spPr>
                              <a:xfrm>
                                <a:off x="0" y="0"/>
                                <a:ext cx="6181725" cy="381000"/>
                              </a:xfrm>
                              <a:prstGeom prst="rect">
                                <a:avLst/>
                              </a:prstGeom>
                              <a:noFill/>
                              <a:ln w="6350">
                                <a:noFill/>
                              </a:ln>
                            </wps:spPr>
                            <wps:txbx>
                              <w:txbxContent>
                                <w:p w:rsidR="009117F5" w:rsidRPr="00B54544" w:rsidRDefault="009117F5" w:rsidP="00A91D75">
                                  <w:pPr>
                                    <w:pStyle w:val="Subtitle"/>
                                    <w:rPr>
                                      <w:color w:val="auto"/>
                                    </w:rPr>
                                  </w:pPr>
                                  <w:r w:rsidRPr="00B54544">
                                    <w:rPr>
                                      <w:color w:val="auto"/>
                                    </w:rPr>
                                    <w:t>Community Action Partnership of Northwest Montana</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 w14:anchorId="43246454" id="Text Box 6" o:spid="_x0000_s1027" type="#_x0000_t202" style="width:486.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" filled="f" stroked="f" strokeweight=".5pt">
                      <v:textbox inset=",,,0">
                        <w:txbxContent>
                          <w:p w:rsidR="009117F5" w:rsidRPr="00B54544" w:rsidRDefault="009117F5" w:rsidP="00A91D75">
                            <w:pPr>
                              <w:pStyle w:val="Subtitle"/>
                              <w:rPr>
                                <w:color w:val="auto"/>
                              </w:rPr>
                            </w:pPr>
                            <w:r w:rsidRPr="00B54544">
                              <w:rPr>
                                <w:color w:val="auto"/>
                              </w:rPr>
                              <w:t>Community Action Partnership of Northwest Montana</w:t>
                            </w:r>
                          </w:p>
                        </w:txbxContent>
                      </v:textbox>
                      <w10:anchorlock/>
                    </v:shape>
                  </w:pict>
                </mc:Fallback>
              </mc:AlternateContent>
            </w:r>
          </w:p>
        </w:tc>
        <w:tc>
          <w:tcPr>
            <w:tcW w:w="2940" w:type="dxa"/>
            <w:vAlign w:val="bottom"/>
          </w:tcPr>
          <w:p w:rsidR="00A91D75" w:rsidRDefault="00A91D75" w:rsidP="00A91D75"/>
        </w:tc>
        <w:tc>
          <w:tcPr>
            <w:tcW w:w="3483" w:type="dxa"/>
            <w:vAlign w:val="bottom"/>
          </w:tcPr>
          <w:p w:rsidR="00A91D75" w:rsidRDefault="00A91D75" w:rsidP="00A91D75">
            <w:pPr>
              <w:jc w:val="right"/>
            </w:pPr>
          </w:p>
        </w:tc>
      </w:tr>
      <w:tr w:rsidR="00B54544" w:rsidTr="00C6323A">
        <w:trPr>
          <w:trHeight w:val="1197"/>
        </w:trPr>
        <w:tc>
          <w:tcPr>
            <w:tcW w:w="3567" w:type="dxa"/>
          </w:tcPr>
          <w:p w:rsidR="00A91D75" w:rsidRDefault="00A91D75" w:rsidP="00A91D75">
            <w:pPr>
              <w:rPr>
                <w:noProof/>
              </w:rPr>
            </w:pPr>
            <w:r>
              <w:rPr>
                <w:noProof/>
                <w:lang w:eastAsia="en-US"/>
              </w:rPr>
              <mc:AlternateContent>
                <mc:Choice Requires="wps">
                  <w:drawing>
                    <wp:inline distT="0" distB="0" distL="0" distR="0" wp14:anchorId="6BF701E0" wp14:editId="7E0FD386">
                      <wp:extent cx="2009775" cy="566671"/>
                      <wp:effectExtent l="0" t="0" r="0" b="5080"/>
                      <wp:docPr id="7" name="Text Box 7"/>
                      <wp:cNvGraphicFramePr/>
                      <a:graphic xmlns:a="http://schemas.openxmlformats.org/drawingml/2006/main">
                        <a:graphicData uri="http://schemas.microsoft.com/office/word/2010/wordprocessingShape">
                          <wps:wsp>
                            <wps:cNvSpPr txBox="1"/>
                            <wps:spPr>
                              <a:xfrm>
                                <a:off x="0" y="0"/>
                                <a:ext cx="2009775" cy="566671"/>
                              </a:xfrm>
                              <a:prstGeom prst="rect">
                                <a:avLst/>
                              </a:prstGeom>
                              <a:noFill/>
                              <a:ln w="6350">
                                <a:noFill/>
                              </a:ln>
                            </wps:spPr>
                            <wps:txbx>
                              <w:txbxContent>
                                <w:p w:rsidR="009117F5" w:rsidRPr="00B54544" w:rsidRDefault="009117F5" w:rsidP="00A91D75">
                                  <w:pPr>
                                    <w:rPr>
                                      <w:color w:val="auto"/>
                                    </w:rPr>
                                  </w:pPr>
                                  <w:r w:rsidRPr="00B54544">
                                    <w:rPr>
                                      <w:color w:val="auto"/>
                                    </w:rPr>
                                    <w:t>Email: info@capnwmt.org</w:t>
                                  </w:r>
                                </w:p>
                                <w:p w:rsidR="009117F5" w:rsidRPr="00B54544" w:rsidRDefault="009117F5" w:rsidP="00A91D75">
                                  <w:pPr>
                                    <w:rPr>
                                      <w:color w:val="auto"/>
                                    </w:rPr>
                                  </w:pPr>
                                  <w:r w:rsidRPr="00B54544">
                                    <w:rPr>
                                      <w:color w:val="auto"/>
                                    </w:rPr>
                                    <w:t>Website: www.capnm.net</w:t>
                                  </w:r>
                                </w:p>
                                <w:p w:rsidR="009117F5" w:rsidRPr="00A91D75" w:rsidRDefault="009117F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8" type="#_x0000_t202" style="width:158.2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" filled="f" stroked="f" strokeweight=".5pt">
                      <v:textbox>
                        <w:txbxContent>
                          <w:p w:rsidR="009117F5" w:rsidRPr="00B54544" w:rsidRDefault="009117F5" w:rsidP="00A91D75">
                            <w:pPr>
                              <w:rPr>
                                <w:color w:val="auto"/>
                              </w:rPr>
                            </w:pPr>
                            <w:r w:rsidRPr="00B54544">
                              <w:rPr>
                                <w:color w:val="auto"/>
                              </w:rPr>
                              <w:t>Email: info@capnwmt.org</w:t>
                            </w:r>
                          </w:p>
                          <w:p w:rsidR="009117F5" w:rsidRPr="00B54544" w:rsidRDefault="009117F5" w:rsidP="00A91D75">
                            <w:pPr>
                              <w:rPr>
                                <w:color w:val="auto"/>
                              </w:rPr>
                            </w:pPr>
                            <w:r w:rsidRPr="00B54544">
                              <w:rPr>
                                <w:color w:val="auto"/>
                              </w:rPr>
                              <w:t>Website: www.capnm.net</w:t>
                            </w:r>
                          </w:p>
                          <w:p w:rsidR="009117F5" w:rsidRPr="00A91D75" w:rsidRDefault="009117F5" w:rsidP="00A91D75"/>
                        </w:txbxContent>
                      </v:textbox>
                      <w10:anchorlock/>
                    </v:shape>
                  </w:pict>
                </mc:Fallback>
              </mc:AlternateContent>
            </w:r>
            <w:r w:rsidR="00B54544">
              <w:rPr>
                <w:noProof/>
                <w:lang w:eastAsia="en-US"/>
              </w:rPr>
              <mc:AlternateContent>
                <mc:Choice Requires="wps">
                  <w:drawing>
                    <wp:inline distT="0" distB="0" distL="0" distR="0" wp14:anchorId="4EA767B9" wp14:editId="07430970">
                      <wp:extent cx="3143250" cy="566277"/>
                      <wp:effectExtent l="0" t="0" r="0" b="5715"/>
                      <wp:docPr id="14" name="Text Box 14"/>
                      <wp:cNvGraphicFramePr/>
                      <a:graphic xmlns:a="http://schemas.openxmlformats.org/drawingml/2006/main">
                        <a:graphicData uri="http://schemas.microsoft.com/office/word/2010/wordprocessingShape">
                          <wps:wsp>
                            <wps:cNvSpPr txBox="1"/>
                            <wps:spPr>
                              <a:xfrm>
                                <a:off x="0" y="0"/>
                                <a:ext cx="3143250" cy="566277"/>
                              </a:xfrm>
                              <a:prstGeom prst="rect">
                                <a:avLst/>
                              </a:prstGeom>
                              <a:noFill/>
                              <a:ln w="6350">
                                <a:noFill/>
                              </a:ln>
                            </wps:spPr>
                            <wps:txbx>
                              <w:txbxContent>
                                <w:p w:rsidR="009117F5" w:rsidRPr="00B54544" w:rsidRDefault="009117F5" w:rsidP="00B54544">
                                  <w:pPr>
                                    <w:rPr>
                                      <w:color w:val="auto"/>
                                    </w:rPr>
                                  </w:pPr>
                                  <w:r w:rsidRPr="00B54544">
                                    <w:rPr>
                                      <w:color w:val="auto"/>
                                    </w:rPr>
                                    <w:t>Tel: (406) 752-6565</w:t>
                                  </w:r>
                                </w:p>
                                <w:p w:rsidR="009117F5" w:rsidRPr="00B54544" w:rsidRDefault="009117F5" w:rsidP="00B54544">
                                  <w:pPr>
                                    <w:rPr>
                                      <w:color w:val="auto"/>
                                    </w:rPr>
                                  </w:pPr>
                                  <w:r w:rsidRPr="00B54544">
                                    <w:rPr>
                                      <w:color w:val="auto"/>
                                    </w:rPr>
                                    <w:t>Address:</w:t>
                                  </w:r>
                                  <w:r>
                                    <w:rPr>
                                      <w:color w:val="auto"/>
                                    </w:rPr>
                                    <w:t xml:space="preserve"> 214 Main St,</w:t>
                                  </w:r>
                                  <w:r w:rsidRPr="00B54544">
                                    <w:rPr>
                                      <w:color w:val="auto"/>
                                    </w:rPr>
                                    <w:t xml:space="preserve"> Kalispell, MT 59901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A767B9" id="Text Box 14" o:spid="_x0000_s1029" type="#_x0000_t202" style="width:247.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WkHLgIAAFo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" filled="f" stroked="f" strokeweight=".5pt">
                      <v:textbox>
                        <w:txbxContent>
                          <w:p w:rsidR="009117F5" w:rsidRPr="00B54544" w:rsidRDefault="009117F5" w:rsidP="00B54544">
                            <w:pPr>
                              <w:rPr>
                                <w:color w:val="auto"/>
                              </w:rPr>
                            </w:pPr>
                            <w:r w:rsidRPr="00B54544">
                              <w:rPr>
                                <w:color w:val="auto"/>
                              </w:rPr>
                              <w:t>Tel: (406) 752-6565</w:t>
                            </w:r>
                          </w:p>
                          <w:p w:rsidR="009117F5" w:rsidRPr="00B54544" w:rsidRDefault="009117F5" w:rsidP="00B54544">
                            <w:pPr>
                              <w:rPr>
                                <w:color w:val="auto"/>
                              </w:rPr>
                            </w:pPr>
                            <w:r w:rsidRPr="00B54544">
                              <w:rPr>
                                <w:color w:val="auto"/>
                              </w:rPr>
                              <w:t>Address:</w:t>
                            </w:r>
                            <w:r>
                              <w:rPr>
                                <w:color w:val="auto"/>
                              </w:rPr>
                              <w:t xml:space="preserve"> 214 Main St,</w:t>
                            </w:r>
                            <w:r w:rsidRPr="00B54544">
                              <w:rPr>
                                <w:color w:val="auto"/>
                              </w:rPr>
                              <w:t xml:space="preserve"> Kalispell, MT 59901 </w:t>
                            </w:r>
                          </w:p>
                        </w:txbxContent>
                      </v:textbox>
                      <w10:anchorlock/>
                    </v:shape>
                  </w:pict>
                </mc:Fallback>
              </mc:AlternateContent>
            </w:r>
          </w:p>
        </w:tc>
        <w:tc>
          <w:tcPr>
            <w:tcW w:w="2940" w:type="dxa"/>
            <w:vAlign w:val="bottom"/>
          </w:tcPr>
          <w:p w:rsidR="00A91D75" w:rsidRDefault="00A91D75" w:rsidP="00A91D75">
            <w:pPr>
              <w:rPr>
                <w:noProof/>
              </w:rPr>
            </w:pPr>
          </w:p>
        </w:tc>
        <w:tc>
          <w:tcPr>
            <w:tcW w:w="3483" w:type="dxa"/>
            <w:vAlign w:val="bottom"/>
          </w:tcPr>
          <w:p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rsidR="00E523C3" w:rsidRDefault="00CB27A1" w:rsidP="00E523C3">
          <w:pPr>
            <w:pStyle w:val="TOCHeading"/>
          </w:pPr>
          <w:r>
            <w:rPr>
              <w:noProof/>
              <w:lang w:eastAsia="en-US"/>
            </w:rPr>
            <mc:AlternateContent>
              <mc:Choice Requires="wps">
                <w:drawing>
                  <wp:anchor distT="0" distB="0" distL="114300" distR="114300" simplePos="0" relativeHeight="251656191" behindDoc="1" locked="0" layoutInCell="1" allowOverlap="1" wp14:anchorId="7A47E979" wp14:editId="33D4CDE7">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3A00A" id="Rectangle 31" o:spid="_x0000_s1026" alt="colored contents page background"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yIngIAAH4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" fillcolor="#f3d569 [3204]" stroked="f" strokeweight="2pt">
                    <w10:wrap anchory="page"/>
                  </v:rect>
                </w:pict>
              </mc:Fallback>
            </mc:AlternateContent>
          </w:r>
          <w:r w:rsidR="00D476F7">
            <w:t>TABLE OF CONTENTS</w:t>
          </w:r>
        </w:p>
        <w:p w:rsidR="005F22CC" w:rsidRPr="005F22CC" w:rsidRDefault="005F22CC" w:rsidP="005F22CC">
          <w:pPr>
            <w:spacing w:line="240" w:lineRule="auto"/>
            <w:contextualSpacing w:val="0"/>
            <w:rPr>
              <w:rFonts w:ascii="Calibri" w:eastAsia="Calibri" w:hAnsi="Calibri" w:cs="Times New Roman"/>
              <w:b/>
              <w:color w:val="auto"/>
              <w:sz w:val="28"/>
              <w:szCs w:val="28"/>
              <w:u w:val="single"/>
              <w:lang w:eastAsia="en-US"/>
            </w:rPr>
          </w:pPr>
          <w:r w:rsidRPr="005F22CC">
            <w:rPr>
              <w:rFonts w:ascii="Calibri" w:eastAsia="Calibri" w:hAnsi="Calibri" w:cs="Times New Roman"/>
              <w:b/>
              <w:color w:val="auto"/>
              <w:sz w:val="28"/>
              <w:szCs w:val="28"/>
              <w:u w:val="single"/>
              <w:lang w:eastAsia="en-US"/>
            </w:rPr>
            <w:t>A. CAPNM 2017 Select Service Outcomes</w:t>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 w:val="28"/>
              <w:szCs w:val="28"/>
              <w:lang w:eastAsia="en-US"/>
            </w:rPr>
            <w:tab/>
          </w:r>
          <w:r w:rsidR="004C765C" w:rsidRPr="004C765C">
            <w:rPr>
              <w:rFonts w:ascii="Calibri" w:eastAsia="Calibri" w:hAnsi="Calibri" w:cs="Times New Roman"/>
              <w:b/>
              <w:color w:val="auto"/>
              <w:szCs w:val="24"/>
              <w:lang w:eastAsia="en-US"/>
            </w:rPr>
            <w:tab/>
            <w:t>Page 1-6</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1. Flathead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2. Lake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3. Lincoln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4. Sanders County</w:t>
          </w:r>
        </w:p>
        <w:p w:rsidR="005F22CC" w:rsidRPr="005F22CC" w:rsidRDefault="005F22CC" w:rsidP="005F22CC">
          <w:pPr>
            <w:spacing w:line="240" w:lineRule="auto"/>
            <w:contextualSpacing w:val="0"/>
            <w:rPr>
              <w:rFonts w:ascii="Calibri" w:eastAsia="Calibri" w:hAnsi="Calibri" w:cs="Times New Roman"/>
              <w:b/>
              <w:color w:val="auto"/>
              <w:sz w:val="28"/>
              <w:szCs w:val="28"/>
              <w:lang w:eastAsia="en-US"/>
            </w:rPr>
          </w:pPr>
        </w:p>
        <w:p w:rsidR="005F22CC" w:rsidRPr="005F22CC" w:rsidRDefault="005F22CC" w:rsidP="005F22CC">
          <w:pPr>
            <w:spacing w:line="240" w:lineRule="auto"/>
            <w:contextualSpacing w:val="0"/>
            <w:rPr>
              <w:rFonts w:ascii="Calibri" w:eastAsia="Calibri" w:hAnsi="Calibri" w:cs="Times New Roman"/>
              <w:b/>
              <w:color w:val="auto"/>
              <w:sz w:val="28"/>
              <w:szCs w:val="28"/>
              <w:u w:val="single"/>
              <w:lang w:eastAsia="en-US"/>
            </w:rPr>
          </w:pPr>
          <w:r w:rsidRPr="005F22CC">
            <w:rPr>
              <w:rFonts w:ascii="Calibri" w:eastAsia="Calibri" w:hAnsi="Calibri" w:cs="Times New Roman"/>
              <w:b/>
              <w:color w:val="auto"/>
              <w:sz w:val="28"/>
              <w:szCs w:val="28"/>
              <w:u w:val="single"/>
              <w:lang w:eastAsia="en-US"/>
            </w:rPr>
            <w:t>B. Northwest Montana Wage and Housing Cost Comparisons</w:t>
          </w:r>
          <w:r w:rsidR="00F8492C" w:rsidRPr="00F8492C">
            <w:rPr>
              <w:rFonts w:ascii="Calibri" w:eastAsia="Calibri" w:hAnsi="Calibri" w:cs="Times New Roman"/>
              <w:b/>
              <w:color w:val="auto"/>
              <w:szCs w:val="24"/>
              <w:lang w:eastAsia="en-US"/>
            </w:rPr>
            <w:tab/>
          </w:r>
          <w:r w:rsidR="00F8492C" w:rsidRPr="00F8492C">
            <w:rPr>
              <w:rFonts w:ascii="Calibri" w:eastAsia="Calibri" w:hAnsi="Calibri" w:cs="Times New Roman"/>
              <w:b/>
              <w:color w:val="auto"/>
              <w:szCs w:val="24"/>
              <w:lang w:eastAsia="en-US"/>
            </w:rPr>
            <w:tab/>
          </w:r>
          <w:r w:rsidR="00F8492C" w:rsidRPr="00F8492C">
            <w:rPr>
              <w:rFonts w:ascii="Calibri" w:eastAsia="Calibri" w:hAnsi="Calibri" w:cs="Times New Roman"/>
              <w:b/>
              <w:color w:val="auto"/>
              <w:szCs w:val="24"/>
              <w:lang w:eastAsia="en-US"/>
            </w:rPr>
            <w:tab/>
          </w:r>
          <w:r w:rsidR="00F8492C" w:rsidRPr="00F8492C">
            <w:rPr>
              <w:rFonts w:ascii="Calibri" w:eastAsia="Calibri" w:hAnsi="Calibri" w:cs="Times New Roman"/>
              <w:b/>
              <w:color w:val="auto"/>
              <w:szCs w:val="24"/>
              <w:lang w:eastAsia="en-US"/>
            </w:rPr>
            <w:tab/>
            <w:t>Page 7-9</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1. Housing Prices</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2. Wage Levels</w:t>
          </w:r>
        </w:p>
        <w:p w:rsidR="005F22CC" w:rsidRPr="005F22CC" w:rsidRDefault="005F22CC" w:rsidP="005F22CC">
          <w:pPr>
            <w:spacing w:line="240" w:lineRule="auto"/>
            <w:contextualSpacing w:val="0"/>
            <w:rPr>
              <w:rFonts w:ascii="Calibri" w:eastAsia="Calibri" w:hAnsi="Calibri" w:cs="Times New Roman"/>
              <w:b/>
              <w:color w:val="auto"/>
              <w:sz w:val="28"/>
              <w:szCs w:val="28"/>
              <w:lang w:eastAsia="en-US"/>
            </w:rPr>
          </w:pPr>
        </w:p>
        <w:p w:rsidR="005F22CC" w:rsidRPr="005F22CC" w:rsidRDefault="005F22CC" w:rsidP="005F22CC">
          <w:pPr>
            <w:spacing w:line="240" w:lineRule="auto"/>
            <w:contextualSpacing w:val="0"/>
            <w:rPr>
              <w:rFonts w:ascii="Calibri" w:eastAsia="Calibri" w:hAnsi="Calibri" w:cs="Times New Roman"/>
              <w:b/>
              <w:color w:val="auto"/>
              <w:sz w:val="28"/>
              <w:szCs w:val="28"/>
              <w:u w:val="single"/>
              <w:lang w:eastAsia="en-US"/>
            </w:rPr>
          </w:pPr>
          <w:r w:rsidRPr="005F22CC">
            <w:rPr>
              <w:rFonts w:ascii="Calibri" w:eastAsia="Calibri" w:hAnsi="Calibri" w:cs="Times New Roman"/>
              <w:b/>
              <w:color w:val="auto"/>
              <w:sz w:val="28"/>
              <w:szCs w:val="28"/>
              <w:u w:val="single"/>
              <w:lang w:eastAsia="en-US"/>
            </w:rPr>
            <w:t>C. 4 County Demographic Comparisons</w:t>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 w:val="28"/>
              <w:szCs w:val="28"/>
              <w:lang w:eastAsia="en-US"/>
            </w:rPr>
            <w:tab/>
          </w:r>
          <w:r w:rsidR="00C96AD1" w:rsidRPr="00C96AD1">
            <w:rPr>
              <w:rFonts w:ascii="Calibri" w:eastAsia="Calibri" w:hAnsi="Calibri" w:cs="Times New Roman"/>
              <w:b/>
              <w:color w:val="auto"/>
              <w:szCs w:val="24"/>
              <w:lang w:eastAsia="en-US"/>
            </w:rPr>
            <w:t>Page 10-14</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1. Flathead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2. Lake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3. Lincoln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4. Sanders County</w:t>
          </w:r>
        </w:p>
        <w:p w:rsidR="005F22CC" w:rsidRPr="005F22CC" w:rsidRDefault="005F22CC" w:rsidP="005F22CC">
          <w:pPr>
            <w:spacing w:line="240" w:lineRule="auto"/>
            <w:contextualSpacing w:val="0"/>
            <w:rPr>
              <w:rFonts w:ascii="Calibri" w:eastAsia="Calibri" w:hAnsi="Calibri" w:cs="Times New Roman"/>
              <w:b/>
              <w:color w:val="auto"/>
              <w:sz w:val="28"/>
              <w:szCs w:val="28"/>
              <w:u w:val="single"/>
              <w:lang w:eastAsia="en-US"/>
            </w:rPr>
          </w:pPr>
        </w:p>
        <w:p w:rsidR="005F22CC" w:rsidRPr="005F22CC" w:rsidRDefault="005F22CC" w:rsidP="005F22CC">
          <w:pPr>
            <w:spacing w:line="240" w:lineRule="auto"/>
            <w:contextualSpacing w:val="0"/>
            <w:rPr>
              <w:rFonts w:ascii="Calibri" w:eastAsia="Calibri" w:hAnsi="Calibri" w:cs="Times New Roman"/>
              <w:b/>
              <w:color w:val="auto"/>
              <w:sz w:val="28"/>
              <w:szCs w:val="28"/>
              <w:u w:val="single"/>
              <w:lang w:eastAsia="en-US"/>
            </w:rPr>
          </w:pPr>
          <w:r w:rsidRPr="005F22CC">
            <w:rPr>
              <w:rFonts w:ascii="Calibri" w:eastAsia="Calibri" w:hAnsi="Calibri" w:cs="Times New Roman"/>
              <w:b/>
              <w:color w:val="auto"/>
              <w:sz w:val="28"/>
              <w:szCs w:val="28"/>
              <w:u w:val="single"/>
              <w:lang w:eastAsia="en-US"/>
            </w:rPr>
            <w:t>D. County by County Demographic Trends</w:t>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r>
          <w:r w:rsidR="00C96AD1" w:rsidRPr="00C96AD1">
            <w:rPr>
              <w:rFonts w:ascii="Calibri" w:eastAsia="Calibri" w:hAnsi="Calibri" w:cs="Times New Roman"/>
              <w:b/>
              <w:color w:val="auto"/>
              <w:szCs w:val="24"/>
              <w:lang w:eastAsia="en-US"/>
            </w:rPr>
            <w:tab/>
            <w:t>Page 11-22</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1. Flathead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2. Lake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3. Lincoln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4. Sanders County</w:t>
          </w:r>
        </w:p>
        <w:p w:rsidR="005F22CC" w:rsidRPr="005F22CC" w:rsidRDefault="005F22CC" w:rsidP="005F22CC">
          <w:pPr>
            <w:spacing w:line="240" w:lineRule="auto"/>
            <w:contextualSpacing w:val="0"/>
            <w:rPr>
              <w:rFonts w:ascii="Calibri" w:eastAsia="Calibri" w:hAnsi="Calibri" w:cs="Times New Roman"/>
              <w:color w:val="auto"/>
              <w:sz w:val="28"/>
              <w:szCs w:val="28"/>
              <w:lang w:eastAsia="en-US"/>
            </w:rPr>
          </w:pPr>
          <w:r w:rsidRPr="005F22CC">
            <w:rPr>
              <w:rFonts w:ascii="Calibri" w:eastAsia="Calibri" w:hAnsi="Calibri" w:cs="Times New Roman"/>
              <w:color w:val="auto"/>
              <w:sz w:val="28"/>
              <w:szCs w:val="28"/>
              <w:lang w:eastAsia="en-US"/>
            </w:rPr>
            <w:t xml:space="preserve">5. Select Statewide Trends on </w:t>
          </w:r>
          <w:proofErr w:type="gramStart"/>
          <w:r w:rsidRPr="005F22CC">
            <w:rPr>
              <w:rFonts w:ascii="Calibri" w:eastAsia="Calibri" w:hAnsi="Calibri" w:cs="Times New Roman"/>
              <w:color w:val="auto"/>
              <w:sz w:val="28"/>
              <w:szCs w:val="28"/>
              <w:lang w:eastAsia="en-US"/>
            </w:rPr>
            <w:t>Seniors</w:t>
          </w:r>
          <w:proofErr w:type="gramEnd"/>
        </w:p>
        <w:p w:rsidR="00E523C3" w:rsidRDefault="005F22CC">
          <w:r>
            <w:rPr>
              <w:noProof/>
              <w:lang w:eastAsia="en-US"/>
            </w:rPr>
            <mc:AlternateContent>
              <mc:Choice Requires="wps">
                <w:drawing>
                  <wp:anchor distT="0" distB="0" distL="114300" distR="114300" simplePos="0" relativeHeight="251662336" behindDoc="0" locked="0" layoutInCell="1" allowOverlap="1">
                    <wp:simplePos x="0" y="0"/>
                    <wp:positionH relativeFrom="column">
                      <wp:posOffset>97155</wp:posOffset>
                    </wp:positionH>
                    <wp:positionV relativeFrom="paragraph">
                      <wp:posOffset>987425</wp:posOffset>
                    </wp:positionV>
                    <wp:extent cx="5829300" cy="15335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829300" cy="153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17F5" w:rsidRPr="005F22CC" w:rsidRDefault="009117F5" w:rsidP="005F22CC">
                                <w:pPr>
                                  <w:spacing w:after="160" w:line="259" w:lineRule="auto"/>
                                  <w:contextualSpacing w:val="0"/>
                                  <w:jc w:val="center"/>
                                  <w:rPr>
                                    <w:rFonts w:ascii="Calibri" w:eastAsia="Calibri" w:hAnsi="Calibri" w:cs="Times New Roman"/>
                                    <w:b/>
                                    <w:color w:val="auto"/>
                                    <w:sz w:val="32"/>
                                    <w:szCs w:val="32"/>
                                    <w:lang w:eastAsia="en-US"/>
                                  </w:rPr>
                                </w:pPr>
                                <w:r w:rsidRPr="005F22CC">
                                  <w:rPr>
                                    <w:rFonts w:ascii="Calibri" w:eastAsia="Calibri" w:hAnsi="Calibri" w:cs="Times New Roman"/>
                                    <w:b/>
                                    <w:color w:val="auto"/>
                                    <w:sz w:val="32"/>
                                    <w:szCs w:val="32"/>
                                    <w:lang w:eastAsia="en-US"/>
                                  </w:rPr>
                                  <w:t xml:space="preserve">The purpose of this report is to highlight major demographic, client characteristics and service data for each County. Data for this report has largely been derived from the Online Comprehensive Community Needs Assessment Tool developed by the National Community Action Partnership in Washington DC. This is the most complete and recent data set with County level statistics. </w:t>
                                </w:r>
                              </w:p>
                              <w:p w:rsidR="009117F5" w:rsidRDefault="009117F5"/>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id="Text Box 16" o:spid="_x0000_s1030" type="#_x0000_t202" style="position:absolute;margin-left:7.65pt;margin-top:77.75pt;width:459pt;height:120.75pt;z-index:25166233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" filled="f" stroked="f" strokeweight=".5pt">
                    <v:textbox style="mso-fit-shape-to-text:t" inset="0,0,0,0">
                      <w:txbxContent>
                        <w:p w:rsidR="009117F5" w:rsidRPr="005F22CC" w:rsidRDefault="009117F5" w:rsidP="005F22CC">
                          <w:pPr>
                            <w:spacing w:after="160" w:line="259" w:lineRule="auto"/>
                            <w:contextualSpacing w:val="0"/>
                            <w:jc w:val="center"/>
                            <w:rPr>
                              <w:rFonts w:ascii="Calibri" w:eastAsia="Calibri" w:hAnsi="Calibri" w:cs="Times New Roman"/>
                              <w:b/>
                              <w:color w:val="auto"/>
                              <w:sz w:val="32"/>
                              <w:szCs w:val="32"/>
                              <w:lang w:eastAsia="en-US"/>
                            </w:rPr>
                          </w:pPr>
                          <w:r w:rsidRPr="005F22CC">
                            <w:rPr>
                              <w:rFonts w:ascii="Calibri" w:eastAsia="Calibri" w:hAnsi="Calibri" w:cs="Times New Roman"/>
                              <w:b/>
                              <w:color w:val="auto"/>
                              <w:sz w:val="32"/>
                              <w:szCs w:val="32"/>
                              <w:lang w:eastAsia="en-US"/>
                            </w:rPr>
                            <w:t xml:space="preserve">The purpose of this report is to highlight major demographic, client characteristics and service data for each County. Data for this report has largely been derived from the Online Comprehensive Community Needs Assessment Tool developed by the National Community Action Partnership in Washington DC. This is the most complete and recent data set with County level statistics. </w:t>
                          </w:r>
                        </w:p>
                        <w:p w:rsidR="009117F5" w:rsidRDefault="009117F5"/>
                      </w:txbxContent>
                    </v:textbox>
                  </v:shape>
                </w:pict>
              </mc:Fallback>
            </mc:AlternateContent>
          </w:r>
        </w:p>
      </w:sdtContent>
    </w:sdt>
    <w:p w:rsidR="00E523C3" w:rsidRPr="00E523C3" w:rsidRDefault="00E523C3" w:rsidP="00E523C3">
      <w:pPr>
        <w:pStyle w:val="Signature"/>
      </w:pPr>
    </w:p>
    <w:p w:rsidR="00D476F7" w:rsidRDefault="00D476F7">
      <w:pPr>
        <w:spacing w:after="180" w:line="336" w:lineRule="auto"/>
        <w:contextualSpacing w:val="0"/>
        <w:rPr>
          <w:b/>
          <w:kern w:val="20"/>
        </w:rPr>
      </w:pPr>
      <w:r>
        <w:br w:type="page"/>
      </w:r>
    </w:p>
    <w:p w:rsidR="000A7EBA" w:rsidRPr="000A7EBA" w:rsidRDefault="000A7EBA" w:rsidP="000A7EBA">
      <w:pPr>
        <w:spacing w:line="240" w:lineRule="auto"/>
        <w:contextualSpacing w:val="0"/>
        <w:rPr>
          <w:rFonts w:ascii="Arial Black" w:eastAsia="Calibri" w:hAnsi="Arial Black" w:cs="Times New Roman"/>
          <w:b/>
          <w:color w:val="auto"/>
          <w:szCs w:val="24"/>
          <w:u w:val="single"/>
          <w:lang w:eastAsia="en-US"/>
        </w:rPr>
      </w:pPr>
      <w:bookmarkStart w:id="0" w:name="_Toc501116472"/>
      <w:r w:rsidRPr="000A7EBA">
        <w:rPr>
          <w:rFonts w:ascii="Arial Black" w:eastAsia="Calibri" w:hAnsi="Arial Black" w:cs="Times New Roman"/>
          <w:b/>
          <w:color w:val="auto"/>
          <w:szCs w:val="24"/>
          <w:u w:val="single"/>
          <w:lang w:eastAsia="en-US"/>
        </w:rPr>
        <w:lastRenderedPageBreak/>
        <w:t>A. CAPNM 2017 Select Service Outcomes</w:t>
      </w:r>
    </w:p>
    <w:p w:rsidR="000A7EBA" w:rsidRPr="000A7EBA" w:rsidRDefault="000A7EBA" w:rsidP="000A7EBA">
      <w:pPr>
        <w:spacing w:line="240" w:lineRule="auto"/>
        <w:contextualSpacing w:val="0"/>
        <w:rPr>
          <w:rFonts w:ascii="Calibri" w:eastAsia="Calibri" w:hAnsi="Calibri" w:cs="Times New Roman"/>
          <w:color w:val="auto"/>
          <w:szCs w:val="24"/>
          <w:lang w:eastAsia="en-US"/>
        </w:rPr>
      </w:pPr>
    </w:p>
    <w:p w:rsidR="000A7EBA" w:rsidRDefault="000A7EBA" w:rsidP="000A7EBA">
      <w:pPr>
        <w:spacing w:line="240" w:lineRule="auto"/>
        <w:contextualSpacing w:val="0"/>
        <w:jc w:val="both"/>
        <w:rPr>
          <w:rFonts w:ascii="Calibri" w:eastAsia="Calibri" w:hAnsi="Calibri" w:cs="Times New Roman"/>
          <w:color w:val="auto"/>
          <w:sz w:val="22"/>
          <w:szCs w:val="22"/>
          <w:lang w:eastAsia="en-US"/>
        </w:rPr>
      </w:pPr>
      <w:r w:rsidRPr="000A7EBA">
        <w:rPr>
          <w:rFonts w:ascii="Calibri" w:eastAsia="Calibri" w:hAnsi="Calibri" w:cs="Times New Roman"/>
          <w:color w:val="auto"/>
          <w:sz w:val="22"/>
          <w:szCs w:val="22"/>
          <w:lang w:eastAsia="en-US"/>
        </w:rPr>
        <w:t>This Section of the Report presents the actual service outcomes CAPNM programs achieved in 2017. Gathering and analyzing data from upwards of a half-dozen data bases is a challenge when accuracy and small area reporting are required. This represents our staff’s best tally of “clients” served by select services.</w:t>
      </w:r>
    </w:p>
    <w:p w:rsidR="000A7EBA" w:rsidRDefault="000A7EBA" w:rsidP="000A7EBA">
      <w:pPr>
        <w:spacing w:line="240" w:lineRule="auto"/>
        <w:contextualSpacing w:val="0"/>
        <w:jc w:val="both"/>
        <w:rPr>
          <w:rFonts w:ascii="Calibri" w:eastAsia="Calibri" w:hAnsi="Calibri" w:cs="Times New Roman"/>
          <w:color w:val="auto"/>
          <w:sz w:val="22"/>
          <w:szCs w:val="22"/>
          <w:lang w:eastAsia="en-US"/>
        </w:rPr>
      </w:pPr>
    </w:p>
    <w:tbl>
      <w:tblPr>
        <w:tblStyle w:val="TableGrid1"/>
        <w:tblW w:w="0" w:type="auto"/>
        <w:tblLook w:val="04A0" w:firstRow="1" w:lastRow="0" w:firstColumn="1" w:lastColumn="0" w:noHBand="0" w:noVBand="1"/>
      </w:tblPr>
      <w:tblGrid>
        <w:gridCol w:w="1719"/>
        <w:gridCol w:w="1646"/>
        <w:gridCol w:w="1635"/>
        <w:gridCol w:w="1635"/>
        <w:gridCol w:w="1636"/>
        <w:gridCol w:w="1655"/>
      </w:tblGrid>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Department/</w:t>
            </w:r>
          </w:p>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Program</w:t>
            </w:r>
          </w:p>
        </w:tc>
        <w:tc>
          <w:tcPr>
            <w:tcW w:w="1646"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Flathead Clients* Served</w:t>
            </w:r>
          </w:p>
        </w:tc>
        <w:tc>
          <w:tcPr>
            <w:tcW w:w="1635"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Lake Clients* Served</w:t>
            </w:r>
          </w:p>
        </w:tc>
        <w:tc>
          <w:tcPr>
            <w:tcW w:w="1635"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Lincoln Clients* Served</w:t>
            </w:r>
          </w:p>
        </w:tc>
        <w:tc>
          <w:tcPr>
            <w:tcW w:w="1636"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Sanders Clients* Served</w:t>
            </w:r>
          </w:p>
        </w:tc>
        <w:tc>
          <w:tcPr>
            <w:tcW w:w="1655"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TOTAL CLIENTS* SERVED</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CS/Homeless Services</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191</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53</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20</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11</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339</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CS/Housing Counseling</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68</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9</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223</w:t>
            </w:r>
          </w:p>
        </w:tc>
      </w:tr>
      <w:tr w:rsidR="009827A8" w:rsidRPr="009827A8" w:rsidTr="009827A8">
        <w:trPr>
          <w:trHeight w:val="323"/>
        </w:trPr>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CS/First Time Homebuyer</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215</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4</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223</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CS/Financial Skill Building</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48</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25</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E&amp;T/Pathways</w:t>
            </w:r>
          </w:p>
        </w:tc>
        <w:tc>
          <w:tcPr>
            <w:tcW w:w="164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349</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124</w:t>
            </w: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473</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E&amp;T/State Displaced Homemaker</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10</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w:t>
            </w: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0</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12</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FA/Energy Share</w:t>
            </w:r>
          </w:p>
        </w:tc>
        <w:tc>
          <w:tcPr>
            <w:tcW w:w="164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FA/LIEAP</w:t>
            </w:r>
          </w:p>
        </w:tc>
        <w:tc>
          <w:tcPr>
            <w:tcW w:w="164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1,682</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676</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1,074</w:t>
            </w: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450</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3,882</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Housing/Sec 8-811</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235</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61</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27</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21</w:t>
            </w: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251</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Housing/NSP</w:t>
            </w:r>
          </w:p>
        </w:tc>
        <w:tc>
          <w:tcPr>
            <w:tcW w:w="164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11</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w:t>
            </w:r>
          </w:p>
        </w:tc>
        <w:tc>
          <w:tcPr>
            <w:tcW w:w="1635"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w:t>
            </w:r>
          </w:p>
        </w:tc>
        <w:tc>
          <w:tcPr>
            <w:tcW w:w="1636" w:type="dxa"/>
          </w:tcPr>
          <w:p w:rsidR="009827A8" w:rsidRPr="003F3DD1" w:rsidRDefault="003F3DD1"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w:t>
            </w:r>
          </w:p>
        </w:tc>
        <w:tc>
          <w:tcPr>
            <w:tcW w:w="1655" w:type="dxa"/>
          </w:tcPr>
          <w:p w:rsidR="009827A8" w:rsidRPr="003F3DD1" w:rsidRDefault="003F3DD1"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14</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r w:rsidRPr="009827A8">
              <w:rPr>
                <w:rFonts w:ascii="Calibri" w:eastAsia="Calibri" w:hAnsi="Calibri" w:cs="Times New Roman"/>
                <w:color w:val="auto"/>
                <w:sz w:val="18"/>
                <w:szCs w:val="18"/>
              </w:rPr>
              <w:t>Weatherization</w:t>
            </w:r>
          </w:p>
        </w:tc>
        <w:tc>
          <w:tcPr>
            <w:tcW w:w="164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53</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15</w:t>
            </w: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30</w:t>
            </w: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r w:rsidRPr="003F3DD1">
              <w:rPr>
                <w:rFonts w:ascii="Calibri" w:eastAsia="Calibri" w:hAnsi="Calibri" w:cs="Times New Roman"/>
                <w:color w:val="auto"/>
                <w:sz w:val="18"/>
                <w:szCs w:val="18"/>
              </w:rPr>
              <w:t>9</w:t>
            </w:r>
          </w:p>
        </w:tc>
        <w:tc>
          <w:tcPr>
            <w:tcW w:w="1655" w:type="dxa"/>
          </w:tcPr>
          <w:p w:rsidR="009827A8" w:rsidRPr="003F3DD1" w:rsidRDefault="003F3DD1" w:rsidP="00AC07A1">
            <w:pPr>
              <w:spacing w:line="240" w:lineRule="auto"/>
              <w:contextualSpacing w:val="0"/>
              <w:jc w:val="center"/>
              <w:rPr>
                <w:rFonts w:ascii="Calibri" w:eastAsia="Calibri" w:hAnsi="Calibri" w:cs="Times New Roman"/>
                <w:b/>
                <w:color w:val="auto"/>
                <w:sz w:val="18"/>
                <w:szCs w:val="18"/>
              </w:rPr>
            </w:pPr>
            <w:r w:rsidRPr="003F3DD1">
              <w:rPr>
                <w:rFonts w:ascii="Calibri" w:eastAsia="Calibri" w:hAnsi="Calibri" w:cs="Times New Roman"/>
                <w:b/>
                <w:color w:val="auto"/>
                <w:sz w:val="18"/>
                <w:szCs w:val="18"/>
              </w:rPr>
              <w:t>107</w:t>
            </w: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color w:val="auto"/>
                <w:sz w:val="18"/>
                <w:szCs w:val="18"/>
              </w:rPr>
            </w:pPr>
          </w:p>
        </w:tc>
        <w:tc>
          <w:tcPr>
            <w:tcW w:w="164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5"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36" w:type="dxa"/>
          </w:tcPr>
          <w:p w:rsidR="009827A8" w:rsidRPr="003F3DD1" w:rsidRDefault="009827A8" w:rsidP="00AC07A1">
            <w:pPr>
              <w:spacing w:line="240" w:lineRule="auto"/>
              <w:contextualSpacing w:val="0"/>
              <w:jc w:val="center"/>
              <w:rPr>
                <w:rFonts w:ascii="Calibri" w:eastAsia="Calibri" w:hAnsi="Calibri" w:cs="Times New Roman"/>
                <w:color w:val="auto"/>
                <w:sz w:val="18"/>
                <w:szCs w:val="18"/>
              </w:rPr>
            </w:pPr>
          </w:p>
        </w:tc>
        <w:tc>
          <w:tcPr>
            <w:tcW w:w="1655" w:type="dxa"/>
          </w:tcPr>
          <w:p w:rsidR="009827A8" w:rsidRPr="003F3DD1" w:rsidRDefault="009827A8" w:rsidP="00AC07A1">
            <w:pPr>
              <w:spacing w:line="240" w:lineRule="auto"/>
              <w:contextualSpacing w:val="0"/>
              <w:jc w:val="center"/>
              <w:rPr>
                <w:rFonts w:ascii="Calibri" w:eastAsia="Calibri" w:hAnsi="Calibri" w:cs="Times New Roman"/>
                <w:b/>
                <w:color w:val="auto"/>
                <w:sz w:val="18"/>
                <w:szCs w:val="18"/>
              </w:rPr>
            </w:pPr>
          </w:p>
        </w:tc>
      </w:tr>
      <w:tr w:rsidR="009827A8" w:rsidRPr="009827A8" w:rsidTr="009827A8">
        <w:tc>
          <w:tcPr>
            <w:tcW w:w="1719" w:type="dxa"/>
          </w:tcPr>
          <w:p w:rsidR="009827A8" w:rsidRPr="009827A8" w:rsidRDefault="009827A8" w:rsidP="009827A8">
            <w:pPr>
              <w:spacing w:line="240" w:lineRule="auto"/>
              <w:contextualSpacing w:val="0"/>
              <w:rPr>
                <w:rFonts w:ascii="Calibri" w:eastAsia="Calibri" w:hAnsi="Calibri" w:cs="Times New Roman"/>
                <w:b/>
                <w:color w:val="auto"/>
                <w:sz w:val="20"/>
              </w:rPr>
            </w:pPr>
            <w:r w:rsidRPr="009827A8">
              <w:rPr>
                <w:rFonts w:ascii="Calibri" w:eastAsia="Calibri" w:hAnsi="Calibri" w:cs="Times New Roman"/>
                <w:b/>
                <w:color w:val="auto"/>
                <w:sz w:val="20"/>
              </w:rPr>
              <w:t>TOTAL CLEINTS* SERVED</w:t>
            </w:r>
          </w:p>
        </w:tc>
        <w:tc>
          <w:tcPr>
            <w:tcW w:w="1646" w:type="dxa"/>
          </w:tcPr>
          <w:p w:rsidR="009827A8" w:rsidRPr="00393495" w:rsidRDefault="00393495" w:rsidP="00AC07A1">
            <w:pPr>
              <w:spacing w:line="240" w:lineRule="auto"/>
              <w:contextualSpacing w:val="0"/>
              <w:jc w:val="center"/>
              <w:rPr>
                <w:rFonts w:ascii="Calibri" w:eastAsia="Calibri" w:hAnsi="Calibri" w:cs="Times New Roman"/>
                <w:b/>
                <w:color w:val="auto"/>
                <w:sz w:val="18"/>
                <w:szCs w:val="18"/>
              </w:rPr>
            </w:pPr>
            <w:r w:rsidRPr="00393495">
              <w:rPr>
                <w:rFonts w:ascii="Calibri" w:eastAsia="Calibri" w:hAnsi="Calibri" w:cs="Times New Roman"/>
                <w:b/>
                <w:color w:val="auto"/>
                <w:sz w:val="18"/>
                <w:szCs w:val="18"/>
              </w:rPr>
              <w:t>3,168</w:t>
            </w:r>
          </w:p>
        </w:tc>
        <w:tc>
          <w:tcPr>
            <w:tcW w:w="1635" w:type="dxa"/>
          </w:tcPr>
          <w:p w:rsidR="009827A8" w:rsidRPr="00393495" w:rsidRDefault="00393495" w:rsidP="00AC07A1">
            <w:pPr>
              <w:spacing w:line="240" w:lineRule="auto"/>
              <w:contextualSpacing w:val="0"/>
              <w:jc w:val="center"/>
              <w:rPr>
                <w:rFonts w:ascii="Calibri" w:eastAsia="Calibri" w:hAnsi="Calibri" w:cs="Times New Roman"/>
                <w:b/>
                <w:color w:val="auto"/>
                <w:sz w:val="18"/>
                <w:szCs w:val="18"/>
              </w:rPr>
            </w:pPr>
            <w:r w:rsidRPr="00393495">
              <w:rPr>
                <w:rFonts w:ascii="Calibri" w:eastAsia="Calibri" w:hAnsi="Calibri" w:cs="Times New Roman"/>
                <w:b/>
                <w:color w:val="auto"/>
                <w:sz w:val="18"/>
                <w:szCs w:val="18"/>
              </w:rPr>
              <w:t>875</w:t>
            </w:r>
          </w:p>
        </w:tc>
        <w:tc>
          <w:tcPr>
            <w:tcW w:w="1635" w:type="dxa"/>
          </w:tcPr>
          <w:p w:rsidR="009827A8" w:rsidRPr="00393495" w:rsidRDefault="00393495" w:rsidP="00AC07A1">
            <w:pPr>
              <w:spacing w:line="240" w:lineRule="auto"/>
              <w:contextualSpacing w:val="0"/>
              <w:jc w:val="center"/>
              <w:rPr>
                <w:rFonts w:ascii="Calibri" w:eastAsia="Calibri" w:hAnsi="Calibri" w:cs="Times New Roman"/>
                <w:b/>
                <w:color w:val="auto"/>
                <w:sz w:val="18"/>
                <w:szCs w:val="18"/>
              </w:rPr>
            </w:pPr>
            <w:r w:rsidRPr="00393495">
              <w:rPr>
                <w:rFonts w:ascii="Calibri" w:eastAsia="Calibri" w:hAnsi="Calibri" w:cs="Times New Roman"/>
                <w:b/>
                <w:color w:val="auto"/>
                <w:sz w:val="18"/>
                <w:szCs w:val="18"/>
              </w:rPr>
              <w:t>1409</w:t>
            </w:r>
          </w:p>
        </w:tc>
        <w:tc>
          <w:tcPr>
            <w:tcW w:w="1636" w:type="dxa"/>
          </w:tcPr>
          <w:p w:rsidR="009827A8" w:rsidRPr="00393495" w:rsidRDefault="00393495" w:rsidP="00AC07A1">
            <w:pPr>
              <w:spacing w:line="240" w:lineRule="auto"/>
              <w:contextualSpacing w:val="0"/>
              <w:jc w:val="center"/>
              <w:rPr>
                <w:rFonts w:ascii="Calibri" w:eastAsia="Calibri" w:hAnsi="Calibri" w:cs="Times New Roman"/>
                <w:b/>
                <w:color w:val="auto"/>
                <w:sz w:val="18"/>
                <w:szCs w:val="18"/>
              </w:rPr>
            </w:pPr>
            <w:r w:rsidRPr="00393495">
              <w:rPr>
                <w:rFonts w:ascii="Calibri" w:eastAsia="Calibri" w:hAnsi="Calibri" w:cs="Times New Roman"/>
                <w:b/>
                <w:color w:val="auto"/>
                <w:sz w:val="18"/>
                <w:szCs w:val="18"/>
              </w:rPr>
              <w:t>546</w:t>
            </w:r>
          </w:p>
        </w:tc>
        <w:tc>
          <w:tcPr>
            <w:tcW w:w="1655" w:type="dxa"/>
          </w:tcPr>
          <w:p w:rsidR="009827A8" w:rsidRPr="00393495" w:rsidRDefault="00393495" w:rsidP="00AC07A1">
            <w:pPr>
              <w:spacing w:line="240" w:lineRule="auto"/>
              <w:contextualSpacing w:val="0"/>
              <w:jc w:val="center"/>
              <w:rPr>
                <w:rFonts w:ascii="Calibri" w:eastAsia="Calibri" w:hAnsi="Calibri" w:cs="Times New Roman"/>
                <w:b/>
                <w:color w:val="auto"/>
                <w:sz w:val="18"/>
                <w:szCs w:val="18"/>
              </w:rPr>
            </w:pPr>
            <w:r w:rsidRPr="00393495">
              <w:rPr>
                <w:rFonts w:ascii="Calibri" w:eastAsia="Calibri" w:hAnsi="Calibri" w:cs="Times New Roman"/>
                <w:b/>
                <w:color w:val="auto"/>
                <w:sz w:val="18"/>
                <w:szCs w:val="18"/>
              </w:rPr>
              <w:t>5998</w:t>
            </w:r>
          </w:p>
        </w:tc>
      </w:tr>
    </w:tbl>
    <w:p w:rsidR="009827A8" w:rsidRPr="009827A8" w:rsidRDefault="009827A8" w:rsidP="009827A8">
      <w:pPr>
        <w:spacing w:line="240" w:lineRule="auto"/>
        <w:contextualSpacing w:val="0"/>
        <w:rPr>
          <w:rFonts w:ascii="Calibri" w:eastAsia="Calibri" w:hAnsi="Calibri" w:cs="Times New Roman"/>
          <w:i/>
          <w:color w:val="auto"/>
          <w:sz w:val="18"/>
          <w:szCs w:val="18"/>
          <w:lang w:eastAsia="en-US"/>
        </w:rPr>
      </w:pPr>
      <w:r w:rsidRPr="009827A8">
        <w:rPr>
          <w:rFonts w:ascii="Calibri" w:eastAsia="Calibri" w:hAnsi="Calibri" w:cs="Times New Roman"/>
          <w:i/>
          <w:color w:val="auto"/>
          <w:sz w:val="18"/>
          <w:szCs w:val="18"/>
          <w:lang w:eastAsia="en-US"/>
        </w:rPr>
        <w:t>*For purposes of this report, “clients” may be duplicated individuals, families or households</w:t>
      </w:r>
    </w:p>
    <w:p w:rsidR="000A7EBA" w:rsidRDefault="000A7EBA" w:rsidP="000A7EBA">
      <w:pPr>
        <w:spacing w:line="240" w:lineRule="auto"/>
        <w:contextualSpacing w:val="0"/>
        <w:jc w:val="both"/>
        <w:rPr>
          <w:rFonts w:ascii="Calibri" w:eastAsia="Calibri" w:hAnsi="Calibri" w:cs="Times New Roman"/>
          <w:color w:val="auto"/>
          <w:sz w:val="22"/>
          <w:szCs w:val="22"/>
          <w:lang w:eastAsia="en-US"/>
        </w:rPr>
      </w:pPr>
    </w:p>
    <w:p w:rsidR="00536B7F" w:rsidRPr="009827A8" w:rsidRDefault="009827A8" w:rsidP="009827A8">
      <w:pPr>
        <w:spacing w:line="240" w:lineRule="auto"/>
        <w:contextualSpacing w:val="0"/>
        <w:jc w:val="both"/>
        <w:rPr>
          <w:rFonts w:ascii="Calibri" w:eastAsia="Calibri" w:hAnsi="Calibri" w:cs="Times New Roman"/>
          <w:color w:val="auto"/>
          <w:sz w:val="22"/>
          <w:szCs w:val="22"/>
          <w:lang w:eastAsia="en-US"/>
        </w:rPr>
      </w:pPr>
      <w:r w:rsidRPr="009827A8">
        <w:rPr>
          <w:rFonts w:ascii="Calibri" w:eastAsia="Calibri" w:hAnsi="Calibri" w:cs="Times New Roman"/>
          <w:color w:val="auto"/>
          <w:sz w:val="22"/>
          <w:szCs w:val="22"/>
          <w:lang w:eastAsia="en-US"/>
        </w:rPr>
        <w:t xml:space="preserve">This portion compares service outcomes achieved in 2017 against 2016. As noted above, the actual number of clients served or outcomes achieved can vary from year to year for a variety of reasons: could be changes in funding levels or changes in program eligibility criteria or changes in how services are defined, etc. </w:t>
      </w:r>
    </w:p>
    <w:p w:rsidR="009827A8" w:rsidRDefault="009827A8" w:rsidP="000A7EBA">
      <w:pPr>
        <w:spacing w:line="240" w:lineRule="auto"/>
        <w:contextualSpacing w:val="0"/>
        <w:jc w:val="both"/>
        <w:rPr>
          <w:rFonts w:ascii="Calibri" w:eastAsia="Calibri" w:hAnsi="Calibri" w:cs="Times New Roman"/>
          <w:color w:val="auto"/>
          <w:sz w:val="22"/>
          <w:szCs w:val="22"/>
          <w:lang w:eastAsia="en-US"/>
        </w:rPr>
      </w:pPr>
    </w:p>
    <w:p w:rsidR="009827A8" w:rsidRDefault="00457A79" w:rsidP="000A7EBA">
      <w:pPr>
        <w:spacing w:line="240" w:lineRule="auto"/>
        <w:contextualSpacing w:val="0"/>
        <w:jc w:val="both"/>
        <w:rPr>
          <w:rFonts w:ascii="Calibri" w:eastAsia="Calibri" w:hAnsi="Calibri" w:cs="Times New Roman"/>
          <w:b/>
          <w:color w:val="auto"/>
          <w:szCs w:val="24"/>
          <w:lang w:eastAsia="en-US"/>
        </w:rPr>
      </w:pPr>
      <w:r w:rsidRPr="00457A79">
        <w:rPr>
          <w:rFonts w:ascii="Calibri" w:eastAsia="Calibri" w:hAnsi="Calibri" w:cs="Times New Roman"/>
          <w:b/>
          <w:color w:val="auto"/>
          <w:szCs w:val="24"/>
          <w:lang w:eastAsia="en-US"/>
        </w:rPr>
        <w:t>Flathead County</w:t>
      </w:r>
    </w:p>
    <w:tbl>
      <w:tblPr>
        <w:tblStyle w:val="TableGrid2"/>
        <w:tblW w:w="0" w:type="auto"/>
        <w:tblLook w:val="04A0" w:firstRow="1" w:lastRow="0" w:firstColumn="1" w:lastColumn="0" w:noHBand="0" w:noVBand="1"/>
      </w:tblPr>
      <w:tblGrid>
        <w:gridCol w:w="2155"/>
        <w:gridCol w:w="2155"/>
        <w:gridCol w:w="2155"/>
      </w:tblGrid>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b/>
                <w:color w:val="auto"/>
                <w:sz w:val="20"/>
              </w:rPr>
            </w:pPr>
            <w:r w:rsidRPr="00457A79">
              <w:rPr>
                <w:rFonts w:ascii="Calibri" w:eastAsia="Calibri" w:hAnsi="Calibri" w:cs="Times New Roman"/>
                <w:b/>
                <w:color w:val="auto"/>
                <w:sz w:val="20"/>
              </w:rPr>
              <w:t>Department/Program</w:t>
            </w:r>
          </w:p>
        </w:tc>
        <w:tc>
          <w:tcPr>
            <w:tcW w:w="2155" w:type="dxa"/>
          </w:tcPr>
          <w:p w:rsidR="00457A79" w:rsidRPr="00457A79" w:rsidRDefault="00457A79" w:rsidP="00457A79">
            <w:pPr>
              <w:spacing w:line="240" w:lineRule="auto"/>
              <w:contextualSpacing w:val="0"/>
              <w:jc w:val="center"/>
              <w:rPr>
                <w:rFonts w:ascii="Calibri" w:eastAsia="Calibri" w:hAnsi="Calibri" w:cs="Times New Roman"/>
                <w:b/>
                <w:color w:val="auto"/>
                <w:sz w:val="20"/>
              </w:rPr>
            </w:pPr>
            <w:r w:rsidRPr="00457A79">
              <w:rPr>
                <w:rFonts w:ascii="Calibri" w:eastAsia="Calibri" w:hAnsi="Calibri" w:cs="Times New Roman"/>
                <w:b/>
                <w:color w:val="auto"/>
                <w:sz w:val="20"/>
              </w:rPr>
              <w:t>Clients Served (2016)</w:t>
            </w:r>
          </w:p>
        </w:tc>
        <w:tc>
          <w:tcPr>
            <w:tcW w:w="2155" w:type="dxa"/>
          </w:tcPr>
          <w:p w:rsidR="00457A79" w:rsidRPr="00457A79" w:rsidRDefault="00457A79" w:rsidP="00457A79">
            <w:pPr>
              <w:spacing w:line="240" w:lineRule="auto"/>
              <w:contextualSpacing w:val="0"/>
              <w:rPr>
                <w:rFonts w:ascii="Calibri" w:eastAsia="Calibri" w:hAnsi="Calibri" w:cs="Times New Roman"/>
                <w:b/>
                <w:color w:val="auto"/>
                <w:sz w:val="18"/>
                <w:szCs w:val="18"/>
              </w:rPr>
            </w:pPr>
            <w:r w:rsidRPr="00457A79">
              <w:rPr>
                <w:rFonts w:ascii="Calibri" w:eastAsia="Calibri" w:hAnsi="Calibri" w:cs="Times New Roman"/>
                <w:b/>
                <w:color w:val="auto"/>
                <w:sz w:val="18"/>
                <w:szCs w:val="18"/>
              </w:rPr>
              <w:t>Clients Served (2017)</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Weatherization</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68</w:t>
            </w:r>
          </w:p>
        </w:tc>
        <w:tc>
          <w:tcPr>
            <w:tcW w:w="2155" w:type="dxa"/>
          </w:tcPr>
          <w:p w:rsidR="00457A79" w:rsidRPr="003F3DD1" w:rsidRDefault="00457A79"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53</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Housing/Section 8+811</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236</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235</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Housing/NSP</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3</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11</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FF0000"/>
                <w:sz w:val="18"/>
                <w:szCs w:val="18"/>
              </w:rPr>
            </w:pPr>
            <w:r w:rsidRPr="00457A79">
              <w:rPr>
                <w:rFonts w:ascii="Calibri" w:eastAsia="Calibri" w:hAnsi="Calibri" w:cs="Times New Roman"/>
                <w:color w:val="auto"/>
                <w:sz w:val="18"/>
                <w:szCs w:val="18"/>
              </w:rPr>
              <w:t>Fuel Assistance – LIEAP</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3,430</w:t>
            </w:r>
          </w:p>
        </w:tc>
        <w:tc>
          <w:tcPr>
            <w:tcW w:w="2155" w:type="dxa"/>
          </w:tcPr>
          <w:p w:rsidR="00457A79" w:rsidRPr="003F3DD1" w:rsidRDefault="00457A79"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1,682</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FA/Energy Share</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516</w:t>
            </w:r>
          </w:p>
        </w:tc>
        <w:tc>
          <w:tcPr>
            <w:tcW w:w="2155" w:type="dxa"/>
          </w:tcPr>
          <w:p w:rsidR="00457A79" w:rsidRPr="003F3DD1" w:rsidRDefault="00B94EEF"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306</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CS/Homeless Services</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324</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191</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CS/Housing Counseling</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NA</w:t>
            </w:r>
          </w:p>
        </w:tc>
        <w:tc>
          <w:tcPr>
            <w:tcW w:w="2155" w:type="dxa"/>
          </w:tcPr>
          <w:p w:rsidR="003F3DD1"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68</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CS/First Time Homebuyer</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NA</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215</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CS/ Financial Skill Building</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NA</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48</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 xml:space="preserve">E&amp;T/State Displaced Homemaker </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11</w:t>
            </w:r>
          </w:p>
        </w:tc>
        <w:tc>
          <w:tcPr>
            <w:tcW w:w="2155" w:type="dxa"/>
          </w:tcPr>
          <w:p w:rsidR="00457A79" w:rsidRPr="003F3DD1" w:rsidRDefault="003F3DD1"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10</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r w:rsidRPr="00457A79">
              <w:rPr>
                <w:rFonts w:ascii="Calibri" w:eastAsia="Calibri" w:hAnsi="Calibri" w:cs="Times New Roman"/>
                <w:color w:val="auto"/>
                <w:sz w:val="18"/>
                <w:szCs w:val="18"/>
              </w:rPr>
              <w:t>E&amp;T/Pathways</w:t>
            </w: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r w:rsidRPr="00457A79">
              <w:rPr>
                <w:rFonts w:ascii="Calibri" w:eastAsia="Calibri" w:hAnsi="Calibri" w:cs="Times New Roman"/>
                <w:color w:val="auto"/>
                <w:sz w:val="20"/>
              </w:rPr>
              <w:t>513</w:t>
            </w:r>
          </w:p>
        </w:tc>
        <w:tc>
          <w:tcPr>
            <w:tcW w:w="2155" w:type="dxa"/>
          </w:tcPr>
          <w:p w:rsidR="00457A79" w:rsidRPr="003F3DD1" w:rsidRDefault="00457A79" w:rsidP="00AC07A1">
            <w:pPr>
              <w:spacing w:line="240" w:lineRule="auto"/>
              <w:contextualSpacing w:val="0"/>
              <w:jc w:val="center"/>
              <w:rPr>
                <w:rFonts w:ascii="Calibri" w:eastAsia="Calibri" w:hAnsi="Calibri" w:cs="Times New Roman"/>
                <w:color w:val="auto"/>
                <w:sz w:val="20"/>
              </w:rPr>
            </w:pPr>
            <w:r w:rsidRPr="003F3DD1">
              <w:rPr>
                <w:rFonts w:ascii="Calibri" w:eastAsia="Calibri" w:hAnsi="Calibri" w:cs="Times New Roman"/>
                <w:color w:val="auto"/>
                <w:sz w:val="20"/>
              </w:rPr>
              <w:t>349</w:t>
            </w:r>
          </w:p>
        </w:tc>
      </w:tr>
      <w:tr w:rsidR="00457A79" w:rsidRPr="00457A79" w:rsidTr="004C765C">
        <w:tc>
          <w:tcPr>
            <w:tcW w:w="2155" w:type="dxa"/>
          </w:tcPr>
          <w:p w:rsidR="00457A79" w:rsidRPr="00457A79" w:rsidRDefault="00457A79" w:rsidP="00457A79">
            <w:pPr>
              <w:spacing w:line="240" w:lineRule="auto"/>
              <w:contextualSpacing w:val="0"/>
              <w:rPr>
                <w:rFonts w:ascii="Calibri" w:eastAsia="Calibri" w:hAnsi="Calibri" w:cs="Times New Roman"/>
                <w:color w:val="auto"/>
                <w:sz w:val="18"/>
                <w:szCs w:val="18"/>
              </w:rPr>
            </w:pPr>
          </w:p>
        </w:tc>
        <w:tc>
          <w:tcPr>
            <w:tcW w:w="2155" w:type="dxa"/>
          </w:tcPr>
          <w:p w:rsidR="00457A79" w:rsidRPr="00457A79" w:rsidRDefault="00457A79" w:rsidP="00457A79">
            <w:pPr>
              <w:spacing w:line="240" w:lineRule="auto"/>
              <w:contextualSpacing w:val="0"/>
              <w:jc w:val="center"/>
              <w:rPr>
                <w:rFonts w:ascii="Calibri" w:eastAsia="Calibri" w:hAnsi="Calibri" w:cs="Times New Roman"/>
                <w:color w:val="auto"/>
                <w:sz w:val="20"/>
              </w:rPr>
            </w:pPr>
          </w:p>
        </w:tc>
        <w:tc>
          <w:tcPr>
            <w:tcW w:w="2155" w:type="dxa"/>
          </w:tcPr>
          <w:p w:rsidR="00457A79" w:rsidRPr="00457A79" w:rsidRDefault="00457A79" w:rsidP="00AC07A1">
            <w:pPr>
              <w:spacing w:line="240" w:lineRule="auto"/>
              <w:contextualSpacing w:val="0"/>
              <w:jc w:val="center"/>
              <w:rPr>
                <w:rFonts w:ascii="Calibri" w:eastAsia="Calibri" w:hAnsi="Calibri" w:cs="Times New Roman"/>
                <w:color w:val="FF0000"/>
                <w:sz w:val="20"/>
              </w:rPr>
            </w:pPr>
          </w:p>
        </w:tc>
      </w:tr>
      <w:tr w:rsidR="00457A79" w:rsidRPr="00457A79" w:rsidTr="004C765C">
        <w:tc>
          <w:tcPr>
            <w:tcW w:w="2155" w:type="dxa"/>
          </w:tcPr>
          <w:p w:rsidR="00457A79" w:rsidRPr="003F3DD1" w:rsidRDefault="00457A79" w:rsidP="00457A79">
            <w:pPr>
              <w:spacing w:line="240" w:lineRule="auto"/>
              <w:contextualSpacing w:val="0"/>
              <w:rPr>
                <w:rFonts w:ascii="Calibri" w:eastAsia="Calibri" w:hAnsi="Calibri" w:cs="Times New Roman"/>
                <w:b/>
                <w:color w:val="auto"/>
                <w:sz w:val="18"/>
                <w:szCs w:val="18"/>
              </w:rPr>
            </w:pPr>
            <w:r w:rsidRPr="003F3DD1">
              <w:rPr>
                <w:rFonts w:ascii="Calibri" w:eastAsia="Calibri" w:hAnsi="Calibri" w:cs="Times New Roman"/>
                <w:b/>
                <w:color w:val="auto"/>
                <w:sz w:val="18"/>
                <w:szCs w:val="18"/>
              </w:rPr>
              <w:t>Total</w:t>
            </w:r>
          </w:p>
        </w:tc>
        <w:tc>
          <w:tcPr>
            <w:tcW w:w="2155" w:type="dxa"/>
          </w:tcPr>
          <w:p w:rsidR="00457A79" w:rsidRPr="003F3DD1" w:rsidRDefault="00457A79" w:rsidP="00457A79">
            <w:pPr>
              <w:spacing w:line="240" w:lineRule="auto"/>
              <w:contextualSpacing w:val="0"/>
              <w:jc w:val="center"/>
              <w:rPr>
                <w:rFonts w:ascii="Calibri" w:eastAsia="Calibri" w:hAnsi="Calibri" w:cs="Times New Roman"/>
                <w:b/>
                <w:color w:val="auto"/>
                <w:sz w:val="20"/>
              </w:rPr>
            </w:pPr>
            <w:r w:rsidRPr="003F3DD1">
              <w:rPr>
                <w:rFonts w:ascii="Calibri" w:eastAsia="Calibri" w:hAnsi="Calibri" w:cs="Times New Roman"/>
                <w:b/>
                <w:color w:val="auto"/>
                <w:sz w:val="20"/>
              </w:rPr>
              <w:t>5,101</w:t>
            </w:r>
          </w:p>
        </w:tc>
        <w:tc>
          <w:tcPr>
            <w:tcW w:w="2155" w:type="dxa"/>
          </w:tcPr>
          <w:p w:rsidR="00457A79" w:rsidRPr="00B94EEF" w:rsidRDefault="00B94EEF" w:rsidP="00AC07A1">
            <w:pPr>
              <w:spacing w:line="240" w:lineRule="auto"/>
              <w:contextualSpacing w:val="0"/>
              <w:jc w:val="center"/>
              <w:rPr>
                <w:rFonts w:ascii="Calibri" w:eastAsia="Calibri" w:hAnsi="Calibri" w:cs="Times New Roman"/>
                <w:b/>
                <w:color w:val="FF0000"/>
                <w:sz w:val="20"/>
              </w:rPr>
            </w:pPr>
            <w:r w:rsidRPr="00B94EEF">
              <w:rPr>
                <w:rFonts w:ascii="Calibri" w:eastAsia="Calibri" w:hAnsi="Calibri" w:cs="Times New Roman"/>
                <w:b/>
                <w:color w:val="auto"/>
                <w:sz w:val="20"/>
              </w:rPr>
              <w:t>3,168</w:t>
            </w:r>
          </w:p>
        </w:tc>
      </w:tr>
    </w:tbl>
    <w:p w:rsidR="00457A79" w:rsidRDefault="00FF5CCC" w:rsidP="000A7EBA">
      <w:pPr>
        <w:spacing w:line="240" w:lineRule="auto"/>
        <w:contextualSpacing w:val="0"/>
        <w:jc w:val="both"/>
        <w:rPr>
          <w:rFonts w:ascii="Calibri" w:eastAsia="Calibri" w:hAnsi="Calibri" w:cs="Times New Roman"/>
          <w:b/>
          <w:color w:val="auto"/>
          <w:szCs w:val="24"/>
          <w:lang w:eastAsia="en-US"/>
        </w:rPr>
      </w:pPr>
      <w:r>
        <w:rPr>
          <w:b/>
          <w:noProof/>
          <w:szCs w:val="24"/>
          <w:lang w:eastAsia="en-US"/>
        </w:rPr>
        <w:lastRenderedPageBreak/>
        <w:drawing>
          <wp:inline distT="0" distB="0" distL="0" distR="0" wp14:anchorId="654DF79C" wp14:editId="7B210505">
            <wp:extent cx="6853555" cy="2924175"/>
            <wp:effectExtent l="0" t="0" r="4445"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57A79" w:rsidRDefault="00457A79" w:rsidP="000A7EBA">
      <w:pPr>
        <w:spacing w:line="240" w:lineRule="auto"/>
        <w:contextualSpacing w:val="0"/>
        <w:jc w:val="both"/>
        <w:rPr>
          <w:rFonts w:ascii="Calibri" w:eastAsia="Calibri" w:hAnsi="Calibri" w:cs="Times New Roman"/>
          <w:b/>
          <w:color w:val="auto"/>
          <w:szCs w:val="24"/>
          <w:lang w:eastAsia="en-US"/>
        </w:rPr>
      </w:pPr>
    </w:p>
    <w:p w:rsidR="00457A79" w:rsidRDefault="00C34C2A" w:rsidP="000A7EBA">
      <w:pPr>
        <w:spacing w:line="240" w:lineRule="auto"/>
        <w:contextualSpacing w:val="0"/>
        <w:jc w:val="both"/>
        <w:rPr>
          <w:rFonts w:ascii="Calibri" w:eastAsia="Calibri" w:hAnsi="Calibri" w:cs="Times New Roman"/>
          <w:b/>
          <w:color w:val="auto"/>
          <w:szCs w:val="24"/>
          <w:lang w:eastAsia="en-US"/>
        </w:rPr>
      </w:pPr>
      <w:r>
        <w:rPr>
          <w:rFonts w:ascii="Calibri" w:eastAsia="Calibri" w:hAnsi="Calibri" w:cs="Times New Roman"/>
          <w:b/>
          <w:color w:val="auto"/>
          <w:szCs w:val="24"/>
          <w:lang w:eastAsia="en-US"/>
        </w:rPr>
        <w:t>Lake County</w:t>
      </w:r>
    </w:p>
    <w:tbl>
      <w:tblPr>
        <w:tblStyle w:val="TableGrid3"/>
        <w:tblW w:w="0" w:type="auto"/>
        <w:tblLook w:val="04A0" w:firstRow="1" w:lastRow="0" w:firstColumn="1" w:lastColumn="0" w:noHBand="0" w:noVBand="1"/>
      </w:tblPr>
      <w:tblGrid>
        <w:gridCol w:w="2155"/>
        <w:gridCol w:w="2155"/>
        <w:gridCol w:w="2155"/>
      </w:tblGrid>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b/>
                <w:color w:val="auto"/>
                <w:sz w:val="20"/>
              </w:rPr>
            </w:pPr>
            <w:r w:rsidRPr="00C34C2A">
              <w:rPr>
                <w:rFonts w:ascii="Calibri" w:eastAsia="Calibri" w:hAnsi="Calibri" w:cs="Times New Roman"/>
                <w:b/>
                <w:color w:val="auto"/>
                <w:sz w:val="20"/>
              </w:rPr>
              <w:t>Department/Program</w:t>
            </w:r>
          </w:p>
        </w:tc>
        <w:tc>
          <w:tcPr>
            <w:tcW w:w="2155" w:type="dxa"/>
          </w:tcPr>
          <w:p w:rsidR="00C34C2A" w:rsidRPr="00C34C2A" w:rsidRDefault="00C34C2A" w:rsidP="00C34C2A">
            <w:pPr>
              <w:spacing w:line="240" w:lineRule="auto"/>
              <w:contextualSpacing w:val="0"/>
              <w:jc w:val="center"/>
              <w:rPr>
                <w:rFonts w:ascii="Calibri" w:eastAsia="Calibri" w:hAnsi="Calibri" w:cs="Times New Roman"/>
                <w:b/>
                <w:color w:val="auto"/>
                <w:sz w:val="20"/>
              </w:rPr>
            </w:pPr>
            <w:r w:rsidRPr="00C34C2A">
              <w:rPr>
                <w:rFonts w:ascii="Calibri" w:eastAsia="Calibri" w:hAnsi="Calibri" w:cs="Times New Roman"/>
                <w:b/>
                <w:color w:val="auto"/>
                <w:sz w:val="20"/>
              </w:rPr>
              <w:t>Clients Served (2016)</w:t>
            </w:r>
          </w:p>
        </w:tc>
        <w:tc>
          <w:tcPr>
            <w:tcW w:w="2155" w:type="dxa"/>
          </w:tcPr>
          <w:p w:rsidR="00C34C2A" w:rsidRPr="00C34C2A" w:rsidRDefault="00C34C2A" w:rsidP="00C34C2A">
            <w:pPr>
              <w:spacing w:line="240" w:lineRule="auto"/>
              <w:contextualSpacing w:val="0"/>
              <w:rPr>
                <w:rFonts w:ascii="Calibri" w:eastAsia="Calibri" w:hAnsi="Calibri" w:cs="Times New Roman"/>
                <w:b/>
                <w:color w:val="auto"/>
                <w:sz w:val="18"/>
                <w:szCs w:val="18"/>
              </w:rPr>
            </w:pPr>
            <w:r w:rsidRPr="00C34C2A">
              <w:rPr>
                <w:rFonts w:ascii="Calibri" w:eastAsia="Calibri" w:hAnsi="Calibri" w:cs="Times New Roman"/>
                <w:b/>
                <w:color w:val="auto"/>
                <w:sz w:val="18"/>
                <w:szCs w:val="18"/>
              </w:rPr>
              <w:t>Clients Served (2017)</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Weatherization</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22</w:t>
            </w:r>
          </w:p>
        </w:tc>
        <w:tc>
          <w:tcPr>
            <w:tcW w:w="2155" w:type="dxa"/>
          </w:tcPr>
          <w:p w:rsidR="00C34C2A" w:rsidRPr="00EA2DC3" w:rsidRDefault="00C34C2A"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15</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Housing/Section 8+811</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72</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61</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Housing/NSP</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0</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1</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FF0000"/>
                <w:sz w:val="18"/>
                <w:szCs w:val="18"/>
              </w:rPr>
            </w:pPr>
            <w:r w:rsidRPr="00C34C2A">
              <w:rPr>
                <w:rFonts w:ascii="Calibri" w:eastAsia="Calibri" w:hAnsi="Calibri" w:cs="Times New Roman"/>
                <w:color w:val="auto"/>
                <w:sz w:val="18"/>
                <w:szCs w:val="18"/>
              </w:rPr>
              <w:t>Fuel Assistance – LIEAP</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1,307</w:t>
            </w:r>
          </w:p>
        </w:tc>
        <w:tc>
          <w:tcPr>
            <w:tcW w:w="2155" w:type="dxa"/>
          </w:tcPr>
          <w:p w:rsidR="00C34C2A" w:rsidRPr="00EA2DC3" w:rsidRDefault="00C34C2A"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676</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FA/Energy Share</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179</w:t>
            </w:r>
          </w:p>
        </w:tc>
        <w:tc>
          <w:tcPr>
            <w:tcW w:w="2155" w:type="dxa"/>
          </w:tcPr>
          <w:p w:rsidR="00C34C2A" w:rsidRPr="00EA2DC3" w:rsidRDefault="00B94EEF"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66</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CS/Homeless Services</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45</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53</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CS/Housing Counseling</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2</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CS/First Time Homebuyer</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1</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 Financial Skill Building</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0</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 xml:space="preserve">E&amp;T/State Displaced Homemaker </w:t>
            </w: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2</w:t>
            </w:r>
          </w:p>
        </w:tc>
        <w:tc>
          <w:tcPr>
            <w:tcW w:w="2155" w:type="dxa"/>
          </w:tcPr>
          <w:p w:rsidR="00C34C2A" w:rsidRPr="00EA2DC3" w:rsidRDefault="00C34C2A"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0</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E&amp;T/Pathways</w:t>
            </w:r>
          </w:p>
        </w:tc>
        <w:tc>
          <w:tcPr>
            <w:tcW w:w="2155" w:type="dxa"/>
          </w:tcPr>
          <w:p w:rsidR="00C34C2A" w:rsidRPr="00C34C2A" w:rsidRDefault="00EA2DC3" w:rsidP="00C34C2A">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NA</w:t>
            </w:r>
          </w:p>
        </w:tc>
        <w:tc>
          <w:tcPr>
            <w:tcW w:w="2155" w:type="dxa"/>
          </w:tcPr>
          <w:p w:rsidR="00C34C2A" w:rsidRPr="00EA2DC3" w:rsidRDefault="00EA2DC3"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NA</w:t>
            </w:r>
          </w:p>
        </w:tc>
      </w:tr>
      <w:tr w:rsidR="00C34C2A" w:rsidRPr="00C34C2A" w:rsidTr="004C765C">
        <w:tc>
          <w:tcPr>
            <w:tcW w:w="2155" w:type="dxa"/>
          </w:tcPr>
          <w:p w:rsidR="00C34C2A" w:rsidRPr="00C34C2A" w:rsidRDefault="00C34C2A" w:rsidP="00C34C2A">
            <w:pPr>
              <w:spacing w:line="240" w:lineRule="auto"/>
              <w:contextualSpacing w:val="0"/>
              <w:rPr>
                <w:rFonts w:ascii="Calibri" w:eastAsia="Calibri" w:hAnsi="Calibri" w:cs="Times New Roman"/>
                <w:color w:val="auto"/>
                <w:sz w:val="18"/>
                <w:szCs w:val="18"/>
              </w:rPr>
            </w:pPr>
          </w:p>
        </w:tc>
        <w:tc>
          <w:tcPr>
            <w:tcW w:w="2155" w:type="dxa"/>
          </w:tcPr>
          <w:p w:rsidR="00C34C2A" w:rsidRPr="00C34C2A" w:rsidRDefault="00C34C2A" w:rsidP="00C34C2A">
            <w:pPr>
              <w:spacing w:line="240" w:lineRule="auto"/>
              <w:contextualSpacing w:val="0"/>
              <w:jc w:val="center"/>
              <w:rPr>
                <w:rFonts w:ascii="Calibri" w:eastAsia="Calibri" w:hAnsi="Calibri" w:cs="Times New Roman"/>
                <w:color w:val="auto"/>
                <w:sz w:val="20"/>
              </w:rPr>
            </w:pPr>
          </w:p>
        </w:tc>
        <w:tc>
          <w:tcPr>
            <w:tcW w:w="2155" w:type="dxa"/>
          </w:tcPr>
          <w:p w:rsidR="00C34C2A" w:rsidRPr="00EA2DC3" w:rsidRDefault="00C34C2A" w:rsidP="00AC07A1">
            <w:pPr>
              <w:spacing w:line="240" w:lineRule="auto"/>
              <w:contextualSpacing w:val="0"/>
              <w:jc w:val="center"/>
              <w:rPr>
                <w:rFonts w:ascii="Calibri" w:eastAsia="Calibri" w:hAnsi="Calibri" w:cs="Times New Roman"/>
                <w:color w:val="auto"/>
                <w:sz w:val="20"/>
              </w:rPr>
            </w:pPr>
          </w:p>
        </w:tc>
      </w:tr>
      <w:tr w:rsidR="00C34C2A" w:rsidRPr="00C34C2A" w:rsidTr="004C765C">
        <w:tc>
          <w:tcPr>
            <w:tcW w:w="2155" w:type="dxa"/>
          </w:tcPr>
          <w:p w:rsidR="00C34C2A" w:rsidRPr="00EA2DC3" w:rsidRDefault="00C34C2A" w:rsidP="00C34C2A">
            <w:pPr>
              <w:spacing w:line="240" w:lineRule="auto"/>
              <w:contextualSpacing w:val="0"/>
              <w:rPr>
                <w:rFonts w:ascii="Calibri" w:eastAsia="Calibri" w:hAnsi="Calibri" w:cs="Times New Roman"/>
                <w:b/>
                <w:color w:val="auto"/>
                <w:sz w:val="18"/>
                <w:szCs w:val="18"/>
              </w:rPr>
            </w:pPr>
            <w:r w:rsidRPr="00EA2DC3">
              <w:rPr>
                <w:rFonts w:ascii="Calibri" w:eastAsia="Calibri" w:hAnsi="Calibri" w:cs="Times New Roman"/>
                <w:b/>
                <w:color w:val="auto"/>
                <w:sz w:val="18"/>
                <w:szCs w:val="18"/>
              </w:rPr>
              <w:t>Total</w:t>
            </w:r>
          </w:p>
        </w:tc>
        <w:tc>
          <w:tcPr>
            <w:tcW w:w="2155" w:type="dxa"/>
          </w:tcPr>
          <w:p w:rsidR="00C34C2A" w:rsidRPr="00EA2DC3" w:rsidRDefault="00C34C2A" w:rsidP="00C34C2A">
            <w:pPr>
              <w:spacing w:line="240" w:lineRule="auto"/>
              <w:contextualSpacing w:val="0"/>
              <w:jc w:val="center"/>
              <w:rPr>
                <w:rFonts w:ascii="Calibri" w:eastAsia="Calibri" w:hAnsi="Calibri" w:cs="Times New Roman"/>
                <w:b/>
                <w:color w:val="auto"/>
                <w:sz w:val="20"/>
              </w:rPr>
            </w:pPr>
            <w:r w:rsidRPr="00EA2DC3">
              <w:rPr>
                <w:rFonts w:ascii="Calibri" w:eastAsia="Calibri" w:hAnsi="Calibri" w:cs="Times New Roman"/>
                <w:b/>
                <w:color w:val="auto"/>
                <w:sz w:val="20"/>
              </w:rPr>
              <w:t>1,627</w:t>
            </w:r>
          </w:p>
        </w:tc>
        <w:tc>
          <w:tcPr>
            <w:tcW w:w="2155" w:type="dxa"/>
          </w:tcPr>
          <w:p w:rsidR="00C34C2A" w:rsidRPr="00B94EEF" w:rsidRDefault="00B94EEF" w:rsidP="00AC07A1">
            <w:pPr>
              <w:spacing w:line="240" w:lineRule="auto"/>
              <w:contextualSpacing w:val="0"/>
              <w:jc w:val="center"/>
              <w:rPr>
                <w:rFonts w:ascii="Calibri" w:eastAsia="Calibri" w:hAnsi="Calibri" w:cs="Times New Roman"/>
                <w:b/>
                <w:color w:val="auto"/>
                <w:sz w:val="20"/>
              </w:rPr>
            </w:pPr>
            <w:r w:rsidRPr="00B94EEF">
              <w:rPr>
                <w:rFonts w:ascii="Calibri" w:eastAsia="Calibri" w:hAnsi="Calibri" w:cs="Times New Roman"/>
                <w:b/>
                <w:color w:val="auto"/>
                <w:sz w:val="20"/>
              </w:rPr>
              <w:t>875</w:t>
            </w:r>
          </w:p>
        </w:tc>
      </w:tr>
      <w:tr w:rsidR="00735C8A" w:rsidRPr="00C34C2A" w:rsidTr="004C765C">
        <w:tc>
          <w:tcPr>
            <w:tcW w:w="2155" w:type="dxa"/>
          </w:tcPr>
          <w:p w:rsidR="00735C8A" w:rsidRPr="00EA2DC3" w:rsidRDefault="00735C8A" w:rsidP="00C34C2A">
            <w:pPr>
              <w:spacing w:line="240" w:lineRule="auto"/>
              <w:contextualSpacing w:val="0"/>
              <w:rPr>
                <w:rFonts w:ascii="Calibri" w:eastAsia="Calibri" w:hAnsi="Calibri" w:cs="Times New Roman"/>
                <w:b/>
                <w:color w:val="auto"/>
                <w:sz w:val="18"/>
                <w:szCs w:val="18"/>
              </w:rPr>
            </w:pPr>
          </w:p>
        </w:tc>
        <w:tc>
          <w:tcPr>
            <w:tcW w:w="2155" w:type="dxa"/>
          </w:tcPr>
          <w:p w:rsidR="00735C8A" w:rsidRPr="00EA2DC3" w:rsidRDefault="00735C8A" w:rsidP="00C34C2A">
            <w:pPr>
              <w:spacing w:line="240" w:lineRule="auto"/>
              <w:contextualSpacing w:val="0"/>
              <w:jc w:val="center"/>
              <w:rPr>
                <w:rFonts w:ascii="Calibri" w:eastAsia="Calibri" w:hAnsi="Calibri" w:cs="Times New Roman"/>
                <w:b/>
                <w:color w:val="auto"/>
                <w:sz w:val="20"/>
              </w:rPr>
            </w:pPr>
          </w:p>
        </w:tc>
        <w:tc>
          <w:tcPr>
            <w:tcW w:w="2155" w:type="dxa"/>
          </w:tcPr>
          <w:p w:rsidR="00735C8A" w:rsidRPr="00B94EEF" w:rsidRDefault="00735C8A" w:rsidP="00C34C2A">
            <w:pPr>
              <w:spacing w:line="240" w:lineRule="auto"/>
              <w:contextualSpacing w:val="0"/>
              <w:rPr>
                <w:rFonts w:ascii="Calibri" w:eastAsia="Calibri" w:hAnsi="Calibri" w:cs="Times New Roman"/>
                <w:b/>
                <w:color w:val="auto"/>
                <w:sz w:val="20"/>
              </w:rPr>
            </w:pPr>
          </w:p>
        </w:tc>
      </w:tr>
    </w:tbl>
    <w:p w:rsidR="00C34C2A" w:rsidRDefault="00FF5CCC" w:rsidP="000A7EBA">
      <w:pPr>
        <w:spacing w:line="240" w:lineRule="auto"/>
        <w:contextualSpacing w:val="0"/>
        <w:jc w:val="both"/>
        <w:rPr>
          <w:rFonts w:ascii="Calibri" w:eastAsia="Calibri" w:hAnsi="Calibri" w:cs="Times New Roman"/>
          <w:b/>
          <w:color w:val="auto"/>
          <w:szCs w:val="24"/>
          <w:lang w:eastAsia="en-US"/>
        </w:rPr>
      </w:pPr>
      <w:r>
        <w:rPr>
          <w:rFonts w:ascii="Calibri" w:eastAsia="Calibri" w:hAnsi="Calibri" w:cs="Times New Roman"/>
          <w:b/>
          <w:noProof/>
          <w:color w:val="auto"/>
          <w:szCs w:val="24"/>
          <w:lang w:eastAsia="en-US"/>
        </w:rPr>
        <w:drawing>
          <wp:inline distT="0" distB="0" distL="0" distR="0" wp14:anchorId="3A56D191" wp14:editId="2FB28DA8">
            <wp:extent cx="7181850" cy="283845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13DB8" w:rsidRDefault="00C13DB8" w:rsidP="000A7EBA">
      <w:pPr>
        <w:spacing w:line="240" w:lineRule="auto"/>
        <w:contextualSpacing w:val="0"/>
        <w:jc w:val="both"/>
        <w:rPr>
          <w:rFonts w:ascii="Calibri" w:eastAsia="Calibri" w:hAnsi="Calibri" w:cs="Times New Roman"/>
          <w:b/>
          <w:color w:val="auto"/>
          <w:szCs w:val="24"/>
          <w:lang w:eastAsia="en-US"/>
        </w:rPr>
      </w:pPr>
    </w:p>
    <w:p w:rsidR="008424EF" w:rsidRDefault="008424EF" w:rsidP="000A7EBA">
      <w:pPr>
        <w:spacing w:line="240" w:lineRule="auto"/>
        <w:contextualSpacing w:val="0"/>
        <w:jc w:val="both"/>
        <w:rPr>
          <w:rFonts w:ascii="Calibri" w:eastAsia="Calibri" w:hAnsi="Calibri" w:cs="Times New Roman"/>
          <w:b/>
          <w:color w:val="auto"/>
          <w:szCs w:val="24"/>
          <w:lang w:eastAsia="en-US"/>
        </w:rPr>
      </w:pPr>
    </w:p>
    <w:p w:rsidR="00AB2052" w:rsidRPr="00457A79" w:rsidRDefault="00AB2052" w:rsidP="000A7EBA">
      <w:pPr>
        <w:spacing w:line="240" w:lineRule="auto"/>
        <w:contextualSpacing w:val="0"/>
        <w:jc w:val="both"/>
        <w:rPr>
          <w:rFonts w:ascii="Calibri" w:eastAsia="Calibri" w:hAnsi="Calibri" w:cs="Times New Roman"/>
          <w:b/>
          <w:color w:val="auto"/>
          <w:szCs w:val="24"/>
          <w:lang w:eastAsia="en-US"/>
        </w:rPr>
      </w:pPr>
      <w:r>
        <w:rPr>
          <w:rFonts w:ascii="Calibri" w:eastAsia="Calibri" w:hAnsi="Calibri" w:cs="Times New Roman"/>
          <w:b/>
          <w:color w:val="auto"/>
          <w:szCs w:val="24"/>
          <w:lang w:eastAsia="en-US"/>
        </w:rPr>
        <w:t>Lincoln County</w:t>
      </w:r>
    </w:p>
    <w:tbl>
      <w:tblPr>
        <w:tblStyle w:val="TableGrid3"/>
        <w:tblpPr w:leftFromText="180" w:rightFromText="180" w:vertAnchor="text" w:horzAnchor="margin" w:tblpY="37"/>
        <w:tblW w:w="0" w:type="auto"/>
        <w:tblLook w:val="04A0" w:firstRow="1" w:lastRow="0" w:firstColumn="1" w:lastColumn="0" w:noHBand="0" w:noVBand="1"/>
      </w:tblPr>
      <w:tblGrid>
        <w:gridCol w:w="2155"/>
        <w:gridCol w:w="2155"/>
        <w:gridCol w:w="2155"/>
      </w:tblGrid>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b/>
                <w:color w:val="auto"/>
                <w:sz w:val="20"/>
              </w:rPr>
            </w:pPr>
            <w:r w:rsidRPr="00C34C2A">
              <w:rPr>
                <w:rFonts w:ascii="Calibri" w:eastAsia="Calibri" w:hAnsi="Calibri" w:cs="Times New Roman"/>
                <w:b/>
                <w:color w:val="auto"/>
                <w:sz w:val="20"/>
              </w:rPr>
              <w:t>Department/Program</w:t>
            </w:r>
          </w:p>
        </w:tc>
        <w:tc>
          <w:tcPr>
            <w:tcW w:w="2155" w:type="dxa"/>
          </w:tcPr>
          <w:p w:rsidR="00AB2052" w:rsidRPr="00C34C2A" w:rsidRDefault="00AB2052" w:rsidP="00AB2052">
            <w:pPr>
              <w:spacing w:line="240" w:lineRule="auto"/>
              <w:contextualSpacing w:val="0"/>
              <w:jc w:val="center"/>
              <w:rPr>
                <w:rFonts w:ascii="Calibri" w:eastAsia="Calibri" w:hAnsi="Calibri" w:cs="Times New Roman"/>
                <w:b/>
                <w:color w:val="auto"/>
                <w:sz w:val="20"/>
              </w:rPr>
            </w:pPr>
            <w:r w:rsidRPr="00C34C2A">
              <w:rPr>
                <w:rFonts w:ascii="Calibri" w:eastAsia="Calibri" w:hAnsi="Calibri" w:cs="Times New Roman"/>
                <w:b/>
                <w:color w:val="auto"/>
                <w:sz w:val="20"/>
              </w:rPr>
              <w:t>Clients Served (2016)</w:t>
            </w:r>
          </w:p>
        </w:tc>
        <w:tc>
          <w:tcPr>
            <w:tcW w:w="2155" w:type="dxa"/>
          </w:tcPr>
          <w:p w:rsidR="00AB2052" w:rsidRPr="00C34C2A" w:rsidRDefault="00AB2052" w:rsidP="00AB2052">
            <w:pPr>
              <w:spacing w:line="240" w:lineRule="auto"/>
              <w:contextualSpacing w:val="0"/>
              <w:rPr>
                <w:rFonts w:ascii="Calibri" w:eastAsia="Calibri" w:hAnsi="Calibri" w:cs="Times New Roman"/>
                <w:b/>
                <w:color w:val="auto"/>
                <w:sz w:val="18"/>
                <w:szCs w:val="18"/>
              </w:rPr>
            </w:pPr>
            <w:r w:rsidRPr="00C34C2A">
              <w:rPr>
                <w:rFonts w:ascii="Calibri" w:eastAsia="Calibri" w:hAnsi="Calibri" w:cs="Times New Roman"/>
                <w:b/>
                <w:color w:val="auto"/>
                <w:sz w:val="18"/>
                <w:szCs w:val="18"/>
              </w:rPr>
              <w:t>Clients Served (2017)</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Weatherization</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47</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30</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Housing/Section 8+811</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26</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27</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Housing/NSP</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0</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1</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FF0000"/>
                <w:sz w:val="18"/>
                <w:szCs w:val="18"/>
              </w:rPr>
            </w:pPr>
            <w:r w:rsidRPr="00C34C2A">
              <w:rPr>
                <w:rFonts w:ascii="Calibri" w:eastAsia="Calibri" w:hAnsi="Calibri" w:cs="Times New Roman"/>
                <w:color w:val="auto"/>
                <w:sz w:val="18"/>
                <w:szCs w:val="18"/>
              </w:rPr>
              <w:t>Fuel Assistance – LIEAP</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2,509</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1,074</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FA/Energy Share</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164</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118</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CS/Homeless Services</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63</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20</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CS/Housing Counseling</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9</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CS/First Time Homebuyer</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4</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CS/ Financial Skill Building</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NA</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sidRPr="00EA2DC3">
              <w:rPr>
                <w:rFonts w:ascii="Calibri" w:eastAsia="Calibri" w:hAnsi="Calibri" w:cs="Times New Roman"/>
                <w:color w:val="auto"/>
                <w:sz w:val="20"/>
              </w:rPr>
              <w:t>0</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 xml:space="preserve">E&amp;T/State Displaced Homemaker </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sidRPr="00C34C2A">
              <w:rPr>
                <w:rFonts w:ascii="Calibri" w:eastAsia="Calibri" w:hAnsi="Calibri" w:cs="Times New Roman"/>
                <w:color w:val="auto"/>
                <w:sz w:val="20"/>
              </w:rPr>
              <w:t>2</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r w:rsidRPr="00C34C2A">
              <w:rPr>
                <w:rFonts w:ascii="Calibri" w:eastAsia="Calibri" w:hAnsi="Calibri" w:cs="Times New Roman"/>
                <w:color w:val="auto"/>
                <w:sz w:val="18"/>
                <w:szCs w:val="18"/>
              </w:rPr>
              <w:t>E&amp;T/Pathways</w:t>
            </w: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234</w:t>
            </w: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r>
              <w:rPr>
                <w:rFonts w:ascii="Calibri" w:eastAsia="Calibri" w:hAnsi="Calibri" w:cs="Times New Roman"/>
                <w:color w:val="auto"/>
                <w:sz w:val="20"/>
              </w:rPr>
              <w:t>124</w:t>
            </w:r>
          </w:p>
        </w:tc>
      </w:tr>
      <w:tr w:rsidR="00AB2052" w:rsidRPr="00C34C2A" w:rsidTr="00AB2052">
        <w:tc>
          <w:tcPr>
            <w:tcW w:w="2155" w:type="dxa"/>
          </w:tcPr>
          <w:p w:rsidR="00AB2052" w:rsidRPr="00C34C2A" w:rsidRDefault="00AB2052" w:rsidP="00AB2052">
            <w:pPr>
              <w:spacing w:line="240" w:lineRule="auto"/>
              <w:contextualSpacing w:val="0"/>
              <w:rPr>
                <w:rFonts w:ascii="Calibri" w:eastAsia="Calibri" w:hAnsi="Calibri" w:cs="Times New Roman"/>
                <w:color w:val="auto"/>
                <w:sz w:val="18"/>
                <w:szCs w:val="18"/>
              </w:rPr>
            </w:pPr>
          </w:p>
        </w:tc>
        <w:tc>
          <w:tcPr>
            <w:tcW w:w="2155" w:type="dxa"/>
          </w:tcPr>
          <w:p w:rsidR="00AB2052" w:rsidRPr="00C34C2A" w:rsidRDefault="00AB2052" w:rsidP="00AB2052">
            <w:pPr>
              <w:spacing w:line="240" w:lineRule="auto"/>
              <w:contextualSpacing w:val="0"/>
              <w:jc w:val="center"/>
              <w:rPr>
                <w:rFonts w:ascii="Calibri" w:eastAsia="Calibri" w:hAnsi="Calibri" w:cs="Times New Roman"/>
                <w:color w:val="auto"/>
                <w:sz w:val="20"/>
              </w:rPr>
            </w:pPr>
          </w:p>
        </w:tc>
        <w:tc>
          <w:tcPr>
            <w:tcW w:w="2155" w:type="dxa"/>
          </w:tcPr>
          <w:p w:rsidR="00AB2052" w:rsidRPr="00EA2DC3" w:rsidRDefault="00AB2052" w:rsidP="00AC07A1">
            <w:pPr>
              <w:spacing w:line="240" w:lineRule="auto"/>
              <w:contextualSpacing w:val="0"/>
              <w:jc w:val="center"/>
              <w:rPr>
                <w:rFonts w:ascii="Calibri" w:eastAsia="Calibri" w:hAnsi="Calibri" w:cs="Times New Roman"/>
                <w:color w:val="auto"/>
                <w:sz w:val="20"/>
              </w:rPr>
            </w:pPr>
          </w:p>
        </w:tc>
      </w:tr>
      <w:tr w:rsidR="00AB2052" w:rsidRPr="00C34C2A" w:rsidTr="00AB2052">
        <w:tc>
          <w:tcPr>
            <w:tcW w:w="2155" w:type="dxa"/>
          </w:tcPr>
          <w:p w:rsidR="00AB2052" w:rsidRPr="00EA2DC3" w:rsidRDefault="00AB2052" w:rsidP="00AB2052">
            <w:pPr>
              <w:spacing w:line="240" w:lineRule="auto"/>
              <w:contextualSpacing w:val="0"/>
              <w:rPr>
                <w:rFonts w:ascii="Calibri" w:eastAsia="Calibri" w:hAnsi="Calibri" w:cs="Times New Roman"/>
                <w:b/>
                <w:color w:val="auto"/>
                <w:sz w:val="18"/>
                <w:szCs w:val="18"/>
              </w:rPr>
            </w:pPr>
            <w:r w:rsidRPr="00EA2DC3">
              <w:rPr>
                <w:rFonts w:ascii="Calibri" w:eastAsia="Calibri" w:hAnsi="Calibri" w:cs="Times New Roman"/>
                <w:b/>
                <w:color w:val="auto"/>
                <w:sz w:val="18"/>
                <w:szCs w:val="18"/>
              </w:rPr>
              <w:t>Total</w:t>
            </w:r>
          </w:p>
        </w:tc>
        <w:tc>
          <w:tcPr>
            <w:tcW w:w="2155" w:type="dxa"/>
          </w:tcPr>
          <w:p w:rsidR="00AB2052" w:rsidRPr="00EA2DC3" w:rsidRDefault="00AB2052" w:rsidP="00AB2052">
            <w:pPr>
              <w:spacing w:line="240" w:lineRule="auto"/>
              <w:contextualSpacing w:val="0"/>
              <w:jc w:val="center"/>
              <w:rPr>
                <w:rFonts w:ascii="Calibri" w:eastAsia="Calibri" w:hAnsi="Calibri" w:cs="Times New Roman"/>
                <w:b/>
                <w:color w:val="auto"/>
                <w:sz w:val="20"/>
              </w:rPr>
            </w:pPr>
            <w:r w:rsidRPr="00EA2DC3">
              <w:rPr>
                <w:rFonts w:ascii="Calibri" w:eastAsia="Calibri" w:hAnsi="Calibri" w:cs="Times New Roman"/>
                <w:b/>
                <w:color w:val="auto"/>
                <w:sz w:val="20"/>
              </w:rPr>
              <w:t>1,627</w:t>
            </w:r>
          </w:p>
        </w:tc>
        <w:tc>
          <w:tcPr>
            <w:tcW w:w="2155" w:type="dxa"/>
          </w:tcPr>
          <w:p w:rsidR="00AB2052" w:rsidRPr="00AB2052" w:rsidRDefault="00AB2052" w:rsidP="00AC07A1">
            <w:pPr>
              <w:spacing w:line="240" w:lineRule="auto"/>
              <w:contextualSpacing w:val="0"/>
              <w:jc w:val="center"/>
              <w:rPr>
                <w:rFonts w:ascii="Calibri" w:eastAsia="Calibri" w:hAnsi="Calibri" w:cs="Times New Roman"/>
                <w:b/>
                <w:color w:val="auto"/>
                <w:sz w:val="20"/>
              </w:rPr>
            </w:pPr>
            <w:r w:rsidRPr="00AB2052">
              <w:rPr>
                <w:rFonts w:ascii="Calibri" w:eastAsia="Calibri" w:hAnsi="Calibri" w:cs="Times New Roman"/>
                <w:b/>
                <w:color w:val="auto"/>
                <w:sz w:val="20"/>
              </w:rPr>
              <w:t>1,409</w:t>
            </w:r>
          </w:p>
        </w:tc>
      </w:tr>
    </w:tbl>
    <w:p w:rsidR="00FF5CCC" w:rsidRDefault="00C5146B" w:rsidP="00B94EEF">
      <w:pPr>
        <w:spacing w:line="240" w:lineRule="auto"/>
        <w:contextualSpacing w:val="0"/>
        <w:jc w:val="both"/>
        <w:rPr>
          <w:rFonts w:ascii="Calibri" w:eastAsia="Calibri" w:hAnsi="Calibri" w:cs="Times New Roman"/>
          <w:b/>
          <w:color w:val="auto"/>
          <w:szCs w:val="24"/>
          <w:lang w:eastAsia="en-US"/>
        </w:rPr>
      </w:pPr>
      <w:r>
        <w:rPr>
          <w:rFonts w:ascii="Calibri" w:eastAsia="Calibri" w:hAnsi="Calibri" w:cs="Times New Roman"/>
          <w:b/>
          <w:noProof/>
          <w:color w:val="auto"/>
          <w:szCs w:val="24"/>
          <w:lang w:eastAsia="en-US"/>
        </w:rPr>
        <w:drawing>
          <wp:inline distT="0" distB="0" distL="0" distR="0">
            <wp:extent cx="7077710" cy="3133725"/>
            <wp:effectExtent l="0" t="0" r="889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F5CCC" w:rsidRDefault="00FF5CCC" w:rsidP="00FF5CCC">
      <w:pPr>
        <w:rPr>
          <w:rFonts w:ascii="Calibri" w:eastAsia="Calibri" w:hAnsi="Calibri" w:cs="Times New Roman"/>
          <w:szCs w:val="24"/>
          <w:lang w:eastAsia="en-US"/>
        </w:rPr>
      </w:pPr>
    </w:p>
    <w:p w:rsidR="00FF5CCC" w:rsidRPr="00FF5CCC" w:rsidRDefault="00FF5CCC" w:rsidP="00FF5CCC">
      <w:pPr>
        <w:spacing w:line="240" w:lineRule="auto"/>
        <w:contextualSpacing w:val="0"/>
        <w:rPr>
          <w:rFonts w:ascii="Calibri" w:eastAsia="Calibri" w:hAnsi="Calibri" w:cs="Times New Roman"/>
          <w:b/>
          <w:color w:val="auto"/>
          <w:szCs w:val="24"/>
          <w:lang w:eastAsia="en-US"/>
        </w:rPr>
      </w:pPr>
      <w:r w:rsidRPr="00FF5CCC">
        <w:rPr>
          <w:rFonts w:ascii="Calibri" w:eastAsia="Calibri" w:hAnsi="Calibri" w:cs="Times New Roman"/>
          <w:b/>
          <w:color w:val="auto"/>
          <w:szCs w:val="24"/>
          <w:lang w:eastAsia="en-US"/>
        </w:rPr>
        <w:t>Sanders County</w:t>
      </w:r>
    </w:p>
    <w:tbl>
      <w:tblPr>
        <w:tblStyle w:val="TableGrid4"/>
        <w:tblW w:w="0" w:type="auto"/>
        <w:tblLook w:val="04A0" w:firstRow="1" w:lastRow="0" w:firstColumn="1" w:lastColumn="0" w:noHBand="0" w:noVBand="1"/>
      </w:tblPr>
      <w:tblGrid>
        <w:gridCol w:w="2155"/>
        <w:gridCol w:w="2155"/>
        <w:gridCol w:w="2155"/>
      </w:tblGrid>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b/>
                <w:color w:val="auto"/>
                <w:sz w:val="20"/>
              </w:rPr>
            </w:pPr>
            <w:r w:rsidRPr="00FF5CCC">
              <w:rPr>
                <w:rFonts w:ascii="Calibri" w:eastAsia="Calibri" w:hAnsi="Calibri" w:cs="Times New Roman"/>
                <w:b/>
                <w:color w:val="auto"/>
                <w:sz w:val="20"/>
              </w:rPr>
              <w:t>Department/Program</w:t>
            </w:r>
          </w:p>
        </w:tc>
        <w:tc>
          <w:tcPr>
            <w:tcW w:w="2155" w:type="dxa"/>
          </w:tcPr>
          <w:p w:rsidR="00FF5CCC" w:rsidRPr="00FF5CCC" w:rsidRDefault="00FF5CCC" w:rsidP="00FF5CCC">
            <w:pPr>
              <w:spacing w:line="240" w:lineRule="auto"/>
              <w:contextualSpacing w:val="0"/>
              <w:jc w:val="center"/>
              <w:rPr>
                <w:rFonts w:ascii="Calibri" w:eastAsia="Calibri" w:hAnsi="Calibri" w:cs="Times New Roman"/>
                <w:b/>
                <w:color w:val="auto"/>
                <w:sz w:val="20"/>
              </w:rPr>
            </w:pPr>
            <w:r w:rsidRPr="00FF5CCC">
              <w:rPr>
                <w:rFonts w:ascii="Calibri" w:eastAsia="Calibri" w:hAnsi="Calibri" w:cs="Times New Roman"/>
                <w:b/>
                <w:color w:val="auto"/>
                <w:sz w:val="20"/>
              </w:rPr>
              <w:t>Clients Served (2016)</w:t>
            </w:r>
          </w:p>
        </w:tc>
        <w:tc>
          <w:tcPr>
            <w:tcW w:w="2155" w:type="dxa"/>
          </w:tcPr>
          <w:p w:rsidR="00FF5CCC" w:rsidRPr="00FF5CCC" w:rsidRDefault="00FF5CCC" w:rsidP="00FF5CCC">
            <w:pPr>
              <w:spacing w:line="240" w:lineRule="auto"/>
              <w:contextualSpacing w:val="0"/>
              <w:rPr>
                <w:rFonts w:ascii="Calibri" w:eastAsia="Calibri" w:hAnsi="Calibri" w:cs="Times New Roman"/>
                <w:b/>
                <w:color w:val="auto"/>
                <w:sz w:val="18"/>
                <w:szCs w:val="18"/>
              </w:rPr>
            </w:pPr>
            <w:r w:rsidRPr="00FF5CCC">
              <w:rPr>
                <w:rFonts w:ascii="Calibri" w:eastAsia="Calibri" w:hAnsi="Calibri" w:cs="Times New Roman"/>
                <w:b/>
                <w:color w:val="auto"/>
                <w:sz w:val="18"/>
                <w:szCs w:val="18"/>
              </w:rPr>
              <w:t>Clients Served (2017)</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Weatherization</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18</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9</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Housing/Section 8+811</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23</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21</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Housing/NSP/SH</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0</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1</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FF0000"/>
                <w:sz w:val="18"/>
                <w:szCs w:val="18"/>
              </w:rPr>
            </w:pPr>
            <w:r w:rsidRPr="00FF5CCC">
              <w:rPr>
                <w:rFonts w:ascii="Calibri" w:eastAsia="Calibri" w:hAnsi="Calibri" w:cs="Times New Roman"/>
                <w:color w:val="auto"/>
                <w:sz w:val="18"/>
                <w:szCs w:val="18"/>
              </w:rPr>
              <w:t>Fuel Assistance – LIEAP</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824</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450</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FA/Energy Share</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57</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53</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CS/Homeless Services</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14</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11</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CS/Housing Counseling</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1</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CS/First Time Homebuyer</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0</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CS/ Financial Skill Building</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0</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 xml:space="preserve">E&amp;T/State Displaced Homemaker </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r w:rsidRPr="00FF5CCC">
              <w:rPr>
                <w:rFonts w:ascii="Calibri" w:eastAsia="Calibri" w:hAnsi="Calibri" w:cs="Times New Roman"/>
                <w:color w:val="auto"/>
                <w:sz w:val="18"/>
                <w:szCs w:val="18"/>
              </w:rPr>
              <w:t>E&amp;T/Pathways</w:t>
            </w: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c>
          <w:tcPr>
            <w:tcW w:w="2155" w:type="dxa"/>
          </w:tcPr>
          <w:p w:rsidR="00FF5CCC" w:rsidRPr="00FF5CCC" w:rsidRDefault="00FF5CCC" w:rsidP="00AC07A1">
            <w:pPr>
              <w:spacing w:line="240" w:lineRule="auto"/>
              <w:contextualSpacing w:val="0"/>
              <w:jc w:val="center"/>
              <w:rPr>
                <w:rFonts w:ascii="Calibri" w:eastAsia="Calibri" w:hAnsi="Calibri" w:cs="Times New Roman"/>
                <w:color w:val="auto"/>
                <w:sz w:val="20"/>
              </w:rPr>
            </w:pPr>
            <w:r w:rsidRPr="00FF5CCC">
              <w:rPr>
                <w:rFonts w:ascii="Calibri" w:eastAsia="Calibri" w:hAnsi="Calibri" w:cs="Times New Roman"/>
                <w:color w:val="auto"/>
                <w:sz w:val="20"/>
              </w:rPr>
              <w:t>NA</w:t>
            </w: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color w:val="auto"/>
                <w:sz w:val="18"/>
                <w:szCs w:val="18"/>
              </w:rPr>
            </w:pPr>
          </w:p>
        </w:tc>
        <w:tc>
          <w:tcPr>
            <w:tcW w:w="2155" w:type="dxa"/>
          </w:tcPr>
          <w:p w:rsidR="00FF5CCC" w:rsidRPr="00FF5CCC" w:rsidRDefault="00FF5CCC" w:rsidP="00FF5CCC">
            <w:pPr>
              <w:spacing w:line="240" w:lineRule="auto"/>
              <w:contextualSpacing w:val="0"/>
              <w:jc w:val="center"/>
              <w:rPr>
                <w:rFonts w:ascii="Calibri" w:eastAsia="Calibri" w:hAnsi="Calibri" w:cs="Times New Roman"/>
                <w:color w:val="auto"/>
                <w:sz w:val="18"/>
                <w:szCs w:val="18"/>
              </w:rPr>
            </w:pPr>
          </w:p>
        </w:tc>
        <w:tc>
          <w:tcPr>
            <w:tcW w:w="2155" w:type="dxa"/>
          </w:tcPr>
          <w:p w:rsidR="00FF5CCC" w:rsidRPr="00FF5CCC" w:rsidRDefault="00FF5CCC" w:rsidP="00AC07A1">
            <w:pPr>
              <w:spacing w:line="240" w:lineRule="auto"/>
              <w:contextualSpacing w:val="0"/>
              <w:jc w:val="center"/>
              <w:rPr>
                <w:rFonts w:ascii="Calibri" w:eastAsia="Calibri" w:hAnsi="Calibri" w:cs="Times New Roman"/>
                <w:b/>
                <w:color w:val="auto"/>
                <w:sz w:val="22"/>
              </w:rPr>
            </w:pPr>
          </w:p>
        </w:tc>
      </w:tr>
      <w:tr w:rsidR="00FF5CCC" w:rsidRPr="00FF5CCC" w:rsidTr="004C765C">
        <w:tc>
          <w:tcPr>
            <w:tcW w:w="2155" w:type="dxa"/>
          </w:tcPr>
          <w:p w:rsidR="00FF5CCC" w:rsidRPr="00FF5CCC" w:rsidRDefault="00FF5CCC" w:rsidP="00FF5CCC">
            <w:pPr>
              <w:spacing w:line="240" w:lineRule="auto"/>
              <w:contextualSpacing w:val="0"/>
              <w:rPr>
                <w:rFonts w:ascii="Calibri" w:eastAsia="Calibri" w:hAnsi="Calibri" w:cs="Times New Roman"/>
                <w:b/>
                <w:color w:val="auto"/>
                <w:sz w:val="18"/>
                <w:szCs w:val="18"/>
              </w:rPr>
            </w:pPr>
            <w:r w:rsidRPr="00FF5CCC">
              <w:rPr>
                <w:rFonts w:ascii="Calibri" w:eastAsia="Calibri" w:hAnsi="Calibri" w:cs="Times New Roman"/>
                <w:b/>
                <w:color w:val="auto"/>
                <w:sz w:val="18"/>
                <w:szCs w:val="18"/>
              </w:rPr>
              <w:t>Total</w:t>
            </w:r>
          </w:p>
        </w:tc>
        <w:tc>
          <w:tcPr>
            <w:tcW w:w="2155" w:type="dxa"/>
          </w:tcPr>
          <w:p w:rsidR="00FF5CCC" w:rsidRPr="00FF5CCC" w:rsidRDefault="00FF5CCC" w:rsidP="00FF5CCC">
            <w:pPr>
              <w:spacing w:line="240" w:lineRule="auto"/>
              <w:contextualSpacing w:val="0"/>
              <w:jc w:val="center"/>
              <w:rPr>
                <w:rFonts w:ascii="Calibri" w:eastAsia="Calibri" w:hAnsi="Calibri" w:cs="Times New Roman"/>
                <w:b/>
                <w:color w:val="auto"/>
                <w:sz w:val="18"/>
                <w:szCs w:val="18"/>
              </w:rPr>
            </w:pPr>
            <w:r w:rsidRPr="00FF5CCC">
              <w:rPr>
                <w:rFonts w:ascii="Calibri" w:eastAsia="Calibri" w:hAnsi="Calibri" w:cs="Times New Roman"/>
                <w:b/>
                <w:color w:val="auto"/>
                <w:sz w:val="18"/>
                <w:szCs w:val="18"/>
              </w:rPr>
              <w:t>936</w:t>
            </w:r>
          </w:p>
        </w:tc>
        <w:tc>
          <w:tcPr>
            <w:tcW w:w="2155" w:type="dxa"/>
          </w:tcPr>
          <w:p w:rsidR="00FF5CCC" w:rsidRPr="00FF5CCC" w:rsidRDefault="00FF5CCC" w:rsidP="00AC07A1">
            <w:pPr>
              <w:spacing w:line="240" w:lineRule="auto"/>
              <w:contextualSpacing w:val="0"/>
              <w:jc w:val="center"/>
              <w:rPr>
                <w:rFonts w:ascii="Calibri" w:eastAsia="Calibri" w:hAnsi="Calibri" w:cs="Times New Roman"/>
                <w:b/>
                <w:color w:val="auto"/>
                <w:sz w:val="18"/>
                <w:szCs w:val="18"/>
              </w:rPr>
            </w:pPr>
            <w:r w:rsidRPr="00FF5CCC">
              <w:rPr>
                <w:rFonts w:ascii="Calibri" w:eastAsia="Calibri" w:hAnsi="Calibri" w:cs="Times New Roman"/>
                <w:b/>
                <w:color w:val="auto"/>
                <w:sz w:val="18"/>
                <w:szCs w:val="18"/>
              </w:rPr>
              <w:t>546</w:t>
            </w:r>
          </w:p>
        </w:tc>
      </w:tr>
    </w:tbl>
    <w:p w:rsidR="00FF5CCC" w:rsidRDefault="00FF5CCC" w:rsidP="00FF5CCC">
      <w:pPr>
        <w:rPr>
          <w:rFonts w:ascii="Calibri" w:eastAsia="Calibri" w:hAnsi="Calibri" w:cs="Times New Roman"/>
          <w:szCs w:val="24"/>
          <w:lang w:eastAsia="en-US"/>
        </w:rPr>
      </w:pPr>
      <w:r>
        <w:rPr>
          <w:rFonts w:ascii="Calibri" w:eastAsia="Calibri" w:hAnsi="Calibri" w:cs="Times New Roman"/>
          <w:noProof/>
          <w:szCs w:val="24"/>
          <w:lang w:eastAsia="en-US"/>
        </w:rPr>
        <w:drawing>
          <wp:inline distT="0" distB="0" distL="0" distR="0">
            <wp:extent cx="6934200" cy="29718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61AFC" w:rsidRPr="00FF5CCC" w:rsidRDefault="00C61AFC" w:rsidP="00FF5CCC">
      <w:pPr>
        <w:rPr>
          <w:rFonts w:ascii="Calibri" w:eastAsia="Calibri" w:hAnsi="Calibri" w:cs="Times New Roman"/>
          <w:szCs w:val="24"/>
          <w:lang w:eastAsia="en-US"/>
        </w:rPr>
      </w:pPr>
    </w:p>
    <w:p w:rsidR="00FF5CCC" w:rsidRPr="00FF5CCC" w:rsidRDefault="00022F24" w:rsidP="00FE173A">
      <w:pPr>
        <w:jc w:val="center"/>
        <w:rPr>
          <w:rFonts w:ascii="Calibri" w:eastAsia="Calibri" w:hAnsi="Calibri" w:cs="Times New Roman"/>
          <w:szCs w:val="24"/>
          <w:lang w:eastAsia="en-US"/>
        </w:rPr>
      </w:pPr>
      <w:r>
        <w:rPr>
          <w:rFonts w:ascii="Calibri" w:eastAsia="Calibri" w:hAnsi="Calibri" w:cs="Times New Roman"/>
          <w:noProof/>
          <w:szCs w:val="24"/>
          <w:lang w:eastAsia="en-US"/>
        </w:rPr>
        <w:drawing>
          <wp:anchor distT="0" distB="0" distL="114300" distR="114300" simplePos="0" relativeHeight="251671552" behindDoc="1" locked="0" layoutInCell="1" allowOverlap="1">
            <wp:simplePos x="0" y="0"/>
            <wp:positionH relativeFrom="column">
              <wp:posOffset>746760</wp:posOffset>
            </wp:positionH>
            <wp:positionV relativeFrom="paragraph">
              <wp:posOffset>1754505</wp:posOffset>
            </wp:positionV>
            <wp:extent cx="1714500" cy="22860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 darby 7  6 2017 025 (003).JPG"/>
                    <pic:cNvPicPr/>
                  </pic:nvPicPr>
                  <pic:blipFill>
                    <a:blip r:embed="rId17">
                      <a:extLst>
                        <a:ext uri="{28A0092B-C50C-407E-A947-70E740481C1C}">
                          <a14:useLocalDpi xmlns:a14="http://schemas.microsoft.com/office/drawing/2010/main" val="0"/>
                        </a:ext>
                      </a:extLst>
                    </a:blip>
                    <a:stretch>
                      <a:fillRect/>
                    </a:stretch>
                  </pic:blipFill>
                  <pic:spPr>
                    <a:xfrm>
                      <a:off x="0" y="0"/>
                      <a:ext cx="1714500" cy="2286000"/>
                    </a:xfrm>
                    <a:prstGeom prst="rect">
                      <a:avLst/>
                    </a:prstGeom>
                  </pic:spPr>
                </pic:pic>
              </a:graphicData>
            </a:graphic>
            <wp14:sizeRelH relativeFrom="page">
              <wp14:pctWidth>0</wp14:pctWidth>
            </wp14:sizeRelH>
            <wp14:sizeRelV relativeFrom="page">
              <wp14:pctHeight>0</wp14:pctHeight>
            </wp14:sizeRelV>
          </wp:anchor>
        </w:drawing>
      </w:r>
      <w:r w:rsidR="00FE173A" w:rsidRPr="005659EC">
        <w:rPr>
          <w:rFonts w:ascii="Arial Black" w:hAnsi="Arial Black"/>
          <w:b/>
          <w:noProof/>
          <w:szCs w:val="24"/>
          <w:u w:val="single"/>
          <w:lang w:eastAsia="en-US"/>
        </w:rPr>
        <w:drawing>
          <wp:inline distT="0" distB="0" distL="0" distR="0" wp14:anchorId="046C6F57" wp14:editId="4EF80DC2">
            <wp:extent cx="5829300" cy="15960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3141" cy="1599845"/>
                    </a:xfrm>
                    <a:prstGeom prst="rect">
                      <a:avLst/>
                    </a:prstGeom>
                    <a:noFill/>
                    <a:ln>
                      <a:noFill/>
                    </a:ln>
                  </pic:spPr>
                </pic:pic>
              </a:graphicData>
            </a:graphic>
          </wp:inline>
        </w:drawing>
      </w:r>
    </w:p>
    <w:p w:rsidR="00FF5CCC" w:rsidRDefault="00022F24" w:rsidP="00FF5CCC">
      <w:pPr>
        <w:rPr>
          <w:rFonts w:ascii="Calibri" w:eastAsia="Calibri" w:hAnsi="Calibri" w:cs="Times New Roman"/>
          <w:szCs w:val="24"/>
          <w:lang w:eastAsia="en-US"/>
        </w:rPr>
      </w:pPr>
      <w:r>
        <w:rPr>
          <w:rFonts w:ascii="Calibri" w:eastAsia="Calibri" w:hAnsi="Calibri" w:cs="Times New Roman"/>
          <w:noProof/>
          <w:szCs w:val="24"/>
          <w:lang w:eastAsia="en-US"/>
        </w:rPr>
        <w:drawing>
          <wp:anchor distT="0" distB="0" distL="114300" distR="114300" simplePos="0" relativeHeight="251672576" behindDoc="1" locked="0" layoutInCell="1" allowOverlap="1">
            <wp:simplePos x="0" y="0"/>
            <wp:positionH relativeFrom="column">
              <wp:posOffset>3305175</wp:posOffset>
            </wp:positionH>
            <wp:positionV relativeFrom="paragraph">
              <wp:posOffset>114935</wp:posOffset>
            </wp:positionV>
            <wp:extent cx="2838450" cy="2128838"/>
            <wp:effectExtent l="0" t="0" r="0" b="508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 oliver 8 3 2017 065 (003).JPG"/>
                    <pic:cNvPicPr/>
                  </pic:nvPicPr>
                  <pic:blipFill>
                    <a:blip r:embed="rId19">
                      <a:extLst>
                        <a:ext uri="{28A0092B-C50C-407E-A947-70E740481C1C}">
                          <a14:useLocalDpi xmlns:a14="http://schemas.microsoft.com/office/drawing/2010/main" val="0"/>
                        </a:ext>
                      </a:extLst>
                    </a:blip>
                    <a:stretch>
                      <a:fillRect/>
                    </a:stretch>
                  </pic:blipFill>
                  <pic:spPr>
                    <a:xfrm>
                      <a:off x="0" y="0"/>
                      <a:ext cx="2838874" cy="2129156"/>
                    </a:xfrm>
                    <a:prstGeom prst="rect">
                      <a:avLst/>
                    </a:prstGeom>
                  </pic:spPr>
                </pic:pic>
              </a:graphicData>
            </a:graphic>
            <wp14:sizeRelH relativeFrom="page">
              <wp14:pctWidth>0</wp14:pctWidth>
            </wp14:sizeRelH>
            <wp14:sizeRelV relativeFrom="page">
              <wp14:pctHeight>0</wp14:pctHeight>
            </wp14:sizeRelV>
          </wp:anchor>
        </w:drawing>
      </w:r>
    </w:p>
    <w:p w:rsidR="00022F24" w:rsidRDefault="00022F24"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C61AFC" w:rsidRDefault="00C61AFC" w:rsidP="00FF5CCC">
      <w:pPr>
        <w:rPr>
          <w:rFonts w:ascii="Calibri" w:eastAsia="Calibri" w:hAnsi="Calibri" w:cs="Times New Roman"/>
          <w:szCs w:val="24"/>
          <w:lang w:eastAsia="en-US"/>
        </w:rPr>
      </w:pPr>
    </w:p>
    <w:p w:rsidR="00022F24" w:rsidRDefault="00022F24" w:rsidP="00FF5CCC">
      <w:pPr>
        <w:rPr>
          <w:rFonts w:ascii="Calibri" w:eastAsia="Calibri" w:hAnsi="Calibri" w:cs="Times New Roman"/>
          <w:szCs w:val="24"/>
          <w:lang w:eastAsia="en-US"/>
        </w:rPr>
      </w:pPr>
    </w:p>
    <w:p w:rsidR="00FE173A" w:rsidRPr="005659EC" w:rsidRDefault="00FE173A" w:rsidP="00FE173A">
      <w:pPr>
        <w:pStyle w:val="Default"/>
        <w:rPr>
          <w:rFonts w:asciiTheme="minorHAnsi" w:hAnsiTheme="minorHAnsi"/>
          <w:b/>
          <w:i/>
          <w:sz w:val="22"/>
          <w:szCs w:val="22"/>
        </w:rPr>
      </w:pPr>
      <w:r w:rsidRPr="005659EC">
        <w:rPr>
          <w:rFonts w:asciiTheme="minorHAnsi" w:hAnsiTheme="minorHAnsi"/>
          <w:b/>
          <w:i/>
          <w:sz w:val="22"/>
          <w:szCs w:val="22"/>
        </w:rPr>
        <w:t xml:space="preserve">Testimonials </w:t>
      </w:r>
    </w:p>
    <w:p w:rsidR="00FE173A" w:rsidRPr="005659EC" w:rsidRDefault="00FE173A" w:rsidP="00FE173A">
      <w:pPr>
        <w:pStyle w:val="Default"/>
        <w:rPr>
          <w:rFonts w:asciiTheme="minorHAnsi" w:hAnsiTheme="minorHAnsi" w:cstheme="minorBidi"/>
          <w:i/>
          <w:color w:val="auto"/>
          <w:sz w:val="22"/>
          <w:szCs w:val="22"/>
        </w:rPr>
      </w:pPr>
      <w:r w:rsidRPr="005659EC">
        <w:rPr>
          <w:rFonts w:asciiTheme="minorHAnsi" w:hAnsiTheme="minorHAnsi" w:cstheme="minorBidi"/>
          <w:i/>
          <w:color w:val="auto"/>
          <w:sz w:val="22"/>
          <w:szCs w:val="22"/>
        </w:rPr>
        <w:t xml:space="preserve">“We know you’re about to embark on an insanely busy season once again. We just want to THANK you for past &amp; present assistance we’ve received due to all your hard work. Thank you for doing what you do. Your jobs truly make a difference too many local families. Blessings” -Anonymous LIEAP recipient </w:t>
      </w:r>
    </w:p>
    <w:p w:rsidR="00FE173A" w:rsidRPr="005659EC" w:rsidRDefault="00FE173A" w:rsidP="00FE173A">
      <w:pPr>
        <w:pStyle w:val="NoSpacing"/>
        <w:rPr>
          <w:i/>
        </w:rPr>
      </w:pPr>
    </w:p>
    <w:p w:rsidR="00C61AFC" w:rsidRPr="00022F24" w:rsidRDefault="00FE173A" w:rsidP="00FE173A">
      <w:pPr>
        <w:pStyle w:val="NoSpacing"/>
        <w:rPr>
          <w:i/>
          <w:color w:val="auto"/>
          <w:sz w:val="22"/>
          <w:szCs w:val="22"/>
        </w:rPr>
      </w:pPr>
      <w:r w:rsidRPr="00FE173A">
        <w:rPr>
          <w:i/>
          <w:color w:val="auto"/>
          <w:sz w:val="22"/>
          <w:szCs w:val="22"/>
        </w:rPr>
        <w:t xml:space="preserve">“I just want you to know how grateful I am to you and all your help and patience with me &amp; the firewood deal. Please tell the Energy Share people how grateful I am to all of them for keeping me warm. With grateful appreciation” </w:t>
      </w:r>
      <w:r w:rsidR="00C61AFC">
        <w:rPr>
          <w:i/>
          <w:color w:val="auto"/>
          <w:sz w:val="22"/>
          <w:szCs w:val="22"/>
        </w:rPr>
        <w:t>–</w:t>
      </w:r>
      <w:r w:rsidR="00022F24">
        <w:rPr>
          <w:i/>
          <w:color w:val="auto"/>
          <w:sz w:val="22"/>
          <w:szCs w:val="22"/>
        </w:rPr>
        <w:t>Caro</w:t>
      </w:r>
    </w:p>
    <w:p w:rsidR="00FE173A" w:rsidRPr="00FE173A" w:rsidRDefault="00FE173A" w:rsidP="00FE173A">
      <w:pPr>
        <w:spacing w:line="240" w:lineRule="auto"/>
        <w:contextualSpacing w:val="0"/>
        <w:rPr>
          <w:rFonts w:ascii="Arial Black" w:eastAsia="Calibri" w:hAnsi="Arial Black" w:cs="Times New Roman"/>
          <w:b/>
          <w:color w:val="auto"/>
          <w:szCs w:val="24"/>
          <w:u w:val="single"/>
          <w:lang w:eastAsia="en-US"/>
        </w:rPr>
      </w:pPr>
      <w:r w:rsidRPr="00FE173A">
        <w:rPr>
          <w:rFonts w:ascii="Arial Black" w:eastAsia="Calibri" w:hAnsi="Arial Black" w:cs="Times New Roman"/>
          <w:b/>
          <w:color w:val="auto"/>
          <w:szCs w:val="24"/>
          <w:u w:val="single"/>
          <w:lang w:eastAsia="en-US"/>
        </w:rPr>
        <w:t>B. Northwest Montana Wage and Housing Cost Comparisons</w:t>
      </w:r>
    </w:p>
    <w:p w:rsidR="00FE173A" w:rsidRPr="00FE173A" w:rsidRDefault="00FE173A" w:rsidP="00FE173A">
      <w:pPr>
        <w:spacing w:line="240" w:lineRule="auto"/>
        <w:contextualSpacing w:val="0"/>
        <w:rPr>
          <w:rFonts w:ascii="Calibri" w:eastAsia="Calibri" w:hAnsi="Calibri" w:cs="Times New Roman"/>
          <w:color w:val="auto"/>
          <w:szCs w:val="24"/>
          <w:u w:val="single"/>
          <w:lang w:eastAsia="en-US"/>
        </w:rPr>
      </w:pPr>
    </w:p>
    <w:p w:rsidR="00FE173A" w:rsidRPr="00FE173A" w:rsidRDefault="00FE173A" w:rsidP="00FE173A">
      <w:pPr>
        <w:spacing w:line="240" w:lineRule="auto"/>
        <w:contextualSpacing w:val="0"/>
        <w:jc w:val="both"/>
        <w:rPr>
          <w:rFonts w:ascii="Calibri" w:eastAsia="Calibri" w:hAnsi="Calibri" w:cs="Times New Roman"/>
          <w:color w:val="auto"/>
          <w:sz w:val="22"/>
          <w:szCs w:val="22"/>
          <w:lang w:eastAsia="en-US"/>
        </w:rPr>
      </w:pPr>
      <w:r w:rsidRPr="00FE173A">
        <w:rPr>
          <w:rFonts w:ascii="Calibri" w:eastAsia="Calibri" w:hAnsi="Calibri" w:cs="Times New Roman"/>
          <w:color w:val="auto"/>
          <w:sz w:val="22"/>
          <w:szCs w:val="22"/>
          <w:lang w:eastAsia="en-US"/>
        </w:rPr>
        <w:t>This Section of the Report is new in 2018. It has come about over concerns about the widening “affordability gap” in both ownership and rental housing in NW Montana. In this Section we compare recent average home sales price trends against average wages and the trend is not promising. Wages are lagging farther and farther behind average home purchase prices. This not only prices young families out of homeownership but it also makes good, safe and decent rental housing less affordable as demand outpaces supply.</w:t>
      </w:r>
    </w:p>
    <w:p w:rsidR="00FE173A" w:rsidRPr="00FE173A" w:rsidRDefault="00FE173A" w:rsidP="00FE173A">
      <w:pPr>
        <w:spacing w:line="240" w:lineRule="auto"/>
        <w:contextualSpacing w:val="0"/>
        <w:rPr>
          <w:rFonts w:ascii="Calibri" w:eastAsia="Calibri" w:hAnsi="Calibri" w:cs="Times New Roman"/>
          <w:color w:val="auto"/>
          <w:szCs w:val="24"/>
          <w:lang w:eastAsia="en-US"/>
        </w:rPr>
      </w:pPr>
    </w:p>
    <w:p w:rsidR="00FE173A" w:rsidRPr="00FE173A" w:rsidRDefault="00FE173A" w:rsidP="00FE173A">
      <w:pPr>
        <w:spacing w:line="240" w:lineRule="auto"/>
        <w:contextualSpacing w:val="0"/>
        <w:rPr>
          <w:rFonts w:ascii="Calibri" w:eastAsia="Calibri" w:hAnsi="Calibri" w:cs="Times New Roman"/>
          <w:color w:val="auto"/>
          <w:sz w:val="22"/>
          <w:szCs w:val="22"/>
          <w:lang w:eastAsia="en-US"/>
        </w:rPr>
      </w:pPr>
      <w:r w:rsidRPr="00FE173A">
        <w:rPr>
          <w:rFonts w:ascii="Calibri" w:eastAsia="Calibri" w:hAnsi="Calibri" w:cs="Times New Roman"/>
          <w:color w:val="auto"/>
          <w:szCs w:val="24"/>
          <w:u w:val="single"/>
          <w:lang w:eastAsia="en-US"/>
        </w:rPr>
        <w:t>1. Housing.</w:t>
      </w:r>
      <w:r w:rsidRPr="00FE173A">
        <w:rPr>
          <w:rFonts w:ascii="Calibri" w:eastAsia="Calibri" w:hAnsi="Calibri" w:cs="Times New Roman"/>
          <w:color w:val="auto"/>
          <w:sz w:val="22"/>
          <w:szCs w:val="22"/>
          <w:lang w:eastAsia="en-US"/>
        </w:rPr>
        <w:t xml:space="preserve"> </w:t>
      </w:r>
      <w:r w:rsidRPr="00FE173A">
        <w:rPr>
          <w:rFonts w:ascii="Calibri" w:eastAsia="Calibri" w:hAnsi="Calibri" w:cs="Times New Roman"/>
          <w:color w:val="auto"/>
          <w:sz w:val="20"/>
          <w:lang w:eastAsia="en-US"/>
        </w:rPr>
        <w:t>The October/November 2017 edition of “At Home Flathead” magazine provided residential property sales data for September 2017 which revealed some interesting monthly trends over a three year period. To place those trends within the larger context of the past three years I gained data from the NW Montana Association of Realtors. From this snapshot we find the following average sales prices and changes:</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2"/>
          <w:szCs w:val="22"/>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u w:val="single"/>
          <w:lang w:eastAsia="en-US"/>
        </w:rPr>
        <w:t>Average Sales Prices</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Percent Change</w:t>
      </w:r>
      <w:r w:rsidRPr="00FE173A">
        <w:rPr>
          <w:rFonts w:ascii="Calibri" w:eastAsia="Calibri" w:hAnsi="Calibri" w:cs="Times New Roman"/>
          <w:color w:val="auto"/>
          <w:sz w:val="20"/>
          <w:lang w:eastAsia="en-US"/>
        </w:rPr>
        <w:tab/>
        <w:t xml:space="preserve">   Percent Change </w:t>
      </w:r>
      <w:r w:rsidRPr="00FE173A">
        <w:rPr>
          <w:rFonts w:ascii="Calibri" w:eastAsia="Calibri" w:hAnsi="Calibri" w:cs="Times New Roman"/>
          <w:color w:val="auto"/>
          <w:sz w:val="20"/>
          <w:lang w:eastAsia="en-US"/>
        </w:rPr>
        <w:tab/>
        <w:t>Total</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2014</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2015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2016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(14-15)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(15-16)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(14-16)</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Bigfork</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$416,535</w:t>
      </w:r>
      <w:r w:rsidRPr="00FE173A">
        <w:rPr>
          <w:rFonts w:ascii="Calibri" w:eastAsia="Calibri" w:hAnsi="Calibri" w:cs="Times New Roman"/>
          <w:color w:val="auto"/>
          <w:sz w:val="20"/>
          <w:lang w:eastAsia="en-US"/>
        </w:rPr>
        <w:tab/>
        <w:t>$442,714</w:t>
      </w:r>
      <w:r w:rsidRPr="00FE173A">
        <w:rPr>
          <w:rFonts w:ascii="Calibri" w:eastAsia="Calibri" w:hAnsi="Calibri" w:cs="Times New Roman"/>
          <w:color w:val="auto"/>
          <w:sz w:val="20"/>
          <w:lang w:eastAsia="en-US"/>
        </w:rPr>
        <w:tab/>
        <w:t>$450,115</w:t>
      </w:r>
      <w:r w:rsidRPr="00FE173A">
        <w:rPr>
          <w:rFonts w:ascii="Calibri" w:eastAsia="Calibri" w:hAnsi="Calibri" w:cs="Times New Roman"/>
          <w:color w:val="auto"/>
          <w:sz w:val="20"/>
          <w:lang w:eastAsia="en-US"/>
        </w:rPr>
        <w:tab/>
        <w:t>+6.3%</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+1.7%</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+8.1%</w:t>
      </w:r>
      <w:r w:rsidRPr="00FE173A">
        <w:rPr>
          <w:rFonts w:ascii="Calibri" w:eastAsia="Calibri" w:hAnsi="Calibri" w:cs="Times New Roman"/>
          <w:color w:val="auto"/>
          <w:sz w:val="20"/>
          <w:lang w:eastAsia="en-US"/>
        </w:rPr>
        <w:tab/>
        <w:t xml:space="preserve">   </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Columbia Falls</w:t>
      </w:r>
      <w:r w:rsidRPr="00FE173A">
        <w:rPr>
          <w:rFonts w:ascii="Calibri" w:eastAsia="Calibri" w:hAnsi="Calibri" w:cs="Times New Roman"/>
          <w:color w:val="auto"/>
          <w:sz w:val="20"/>
          <w:lang w:eastAsia="en-US"/>
        </w:rPr>
        <w:tab/>
        <w:t>$267,405</w:t>
      </w:r>
      <w:r w:rsidRPr="00FE173A">
        <w:rPr>
          <w:rFonts w:ascii="Calibri" w:eastAsia="Calibri" w:hAnsi="Calibri" w:cs="Times New Roman"/>
          <w:color w:val="auto"/>
          <w:sz w:val="20"/>
          <w:lang w:eastAsia="en-US"/>
        </w:rPr>
        <w:tab/>
        <w:t>$257,780</w:t>
      </w:r>
      <w:r w:rsidRPr="00FE173A">
        <w:rPr>
          <w:rFonts w:ascii="Calibri" w:eastAsia="Calibri" w:hAnsi="Calibri" w:cs="Times New Roman"/>
          <w:color w:val="auto"/>
          <w:sz w:val="20"/>
          <w:lang w:eastAsia="en-US"/>
        </w:rPr>
        <w:tab/>
        <w:t>$253,472</w:t>
      </w:r>
      <w:r w:rsidRPr="00FE173A">
        <w:rPr>
          <w:rFonts w:ascii="Calibri" w:eastAsia="Calibri" w:hAnsi="Calibri" w:cs="Times New Roman"/>
          <w:color w:val="auto"/>
          <w:sz w:val="20"/>
          <w:lang w:eastAsia="en-US"/>
        </w:rPr>
        <w:tab/>
        <w:t>-3.6%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-1.7%</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-5.2%</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Eureka</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$229,381</w:t>
      </w:r>
      <w:r w:rsidRPr="00FE173A">
        <w:rPr>
          <w:rFonts w:ascii="Calibri" w:eastAsia="Calibri" w:hAnsi="Calibri" w:cs="Times New Roman"/>
          <w:color w:val="auto"/>
          <w:sz w:val="20"/>
          <w:lang w:eastAsia="en-US"/>
        </w:rPr>
        <w:tab/>
        <w:t>$221,341</w:t>
      </w:r>
      <w:r w:rsidRPr="00FE173A">
        <w:rPr>
          <w:rFonts w:ascii="Calibri" w:eastAsia="Calibri" w:hAnsi="Calibri" w:cs="Times New Roman"/>
          <w:color w:val="auto"/>
          <w:sz w:val="20"/>
          <w:lang w:eastAsia="en-US"/>
        </w:rPr>
        <w:tab/>
        <w:t>$304,353</w:t>
      </w:r>
      <w:r w:rsidRPr="00FE173A">
        <w:rPr>
          <w:rFonts w:ascii="Calibri" w:eastAsia="Calibri" w:hAnsi="Calibri" w:cs="Times New Roman"/>
          <w:color w:val="auto"/>
          <w:sz w:val="20"/>
          <w:lang w:eastAsia="en-US"/>
        </w:rPr>
        <w:tab/>
        <w:t>-3.5%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+37.5%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b/>
          <w:color w:val="auto"/>
          <w:sz w:val="20"/>
          <w:lang w:eastAsia="en-US"/>
        </w:rPr>
        <w:t>+32.7%</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Kalispell</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$227,441</w:t>
      </w:r>
      <w:r w:rsidRPr="00FE173A">
        <w:rPr>
          <w:rFonts w:ascii="Calibri" w:eastAsia="Calibri" w:hAnsi="Calibri" w:cs="Times New Roman"/>
          <w:color w:val="auto"/>
          <w:sz w:val="20"/>
          <w:lang w:eastAsia="en-US"/>
        </w:rPr>
        <w:tab/>
        <w:t>$244,231</w:t>
      </w:r>
      <w:r w:rsidRPr="00FE173A">
        <w:rPr>
          <w:rFonts w:ascii="Calibri" w:eastAsia="Calibri" w:hAnsi="Calibri" w:cs="Times New Roman"/>
          <w:color w:val="auto"/>
          <w:sz w:val="20"/>
          <w:lang w:eastAsia="en-US"/>
        </w:rPr>
        <w:tab/>
        <w:t>$262,872</w:t>
      </w:r>
      <w:r w:rsidRPr="00FE173A">
        <w:rPr>
          <w:rFonts w:ascii="Calibri" w:eastAsia="Calibri" w:hAnsi="Calibri" w:cs="Times New Roman"/>
          <w:color w:val="auto"/>
          <w:sz w:val="20"/>
          <w:lang w:eastAsia="en-US"/>
        </w:rPr>
        <w:tab/>
        <w:t>+7.4%</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+7.6%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+15.6%</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Lakeside</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$433,363</w:t>
      </w:r>
      <w:r w:rsidRPr="00FE173A">
        <w:rPr>
          <w:rFonts w:ascii="Calibri" w:eastAsia="Calibri" w:hAnsi="Calibri" w:cs="Times New Roman"/>
          <w:color w:val="auto"/>
          <w:sz w:val="20"/>
          <w:lang w:eastAsia="en-US"/>
        </w:rPr>
        <w:tab/>
        <w:t>$462,040</w:t>
      </w:r>
      <w:r w:rsidRPr="00FE173A">
        <w:rPr>
          <w:rFonts w:ascii="Calibri" w:eastAsia="Calibri" w:hAnsi="Calibri" w:cs="Times New Roman"/>
          <w:color w:val="auto"/>
          <w:sz w:val="20"/>
          <w:lang w:eastAsia="en-US"/>
        </w:rPr>
        <w:tab/>
        <w:t>$377,887</w:t>
      </w:r>
      <w:r w:rsidRPr="00FE173A">
        <w:rPr>
          <w:rFonts w:ascii="Calibri" w:eastAsia="Calibri" w:hAnsi="Calibri" w:cs="Times New Roman"/>
          <w:color w:val="auto"/>
          <w:sz w:val="20"/>
          <w:lang w:eastAsia="en-US"/>
        </w:rPr>
        <w:tab/>
        <w:t>+6.6%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-18.2%</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b/>
          <w:color w:val="auto"/>
          <w:sz w:val="20"/>
          <w:lang w:eastAsia="en-US"/>
        </w:rPr>
        <w:t>-12.8%</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Whitefish</w:t>
      </w:r>
      <w:r w:rsidRPr="00FE173A">
        <w:rPr>
          <w:rFonts w:ascii="Calibri" w:eastAsia="Calibri" w:hAnsi="Calibri" w:cs="Times New Roman"/>
          <w:color w:val="auto"/>
          <w:sz w:val="20"/>
          <w:lang w:eastAsia="en-US"/>
        </w:rPr>
        <w:tab/>
        <w:t>$442,546</w:t>
      </w:r>
      <w:r w:rsidRPr="00FE173A">
        <w:rPr>
          <w:rFonts w:ascii="Calibri" w:eastAsia="Calibri" w:hAnsi="Calibri" w:cs="Times New Roman"/>
          <w:color w:val="auto"/>
          <w:sz w:val="20"/>
          <w:lang w:eastAsia="en-US"/>
        </w:rPr>
        <w:tab/>
        <w:t>$470,650</w:t>
      </w:r>
      <w:r w:rsidRPr="00FE173A">
        <w:rPr>
          <w:rFonts w:ascii="Calibri" w:eastAsia="Calibri" w:hAnsi="Calibri" w:cs="Times New Roman"/>
          <w:color w:val="auto"/>
          <w:sz w:val="20"/>
          <w:lang w:eastAsia="en-US"/>
        </w:rPr>
        <w:tab/>
        <w:t>$501,331</w:t>
      </w:r>
      <w:r w:rsidRPr="00FE173A">
        <w:rPr>
          <w:rFonts w:ascii="Calibri" w:eastAsia="Calibri" w:hAnsi="Calibri" w:cs="Times New Roman"/>
          <w:color w:val="auto"/>
          <w:sz w:val="20"/>
          <w:lang w:eastAsia="en-US"/>
        </w:rPr>
        <w:tab/>
        <w:t>+6.4%</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+6.5%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+13.3%</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Lake County</w:t>
      </w:r>
      <w:r w:rsidRPr="00FE173A">
        <w:rPr>
          <w:rFonts w:ascii="Calibri" w:eastAsia="Calibri" w:hAnsi="Calibri" w:cs="Times New Roman"/>
          <w:color w:val="auto"/>
          <w:sz w:val="20"/>
          <w:lang w:eastAsia="en-US"/>
        </w:rPr>
        <w:tab/>
        <w:t>$287,558</w:t>
      </w:r>
      <w:r w:rsidRPr="00FE173A">
        <w:rPr>
          <w:rFonts w:ascii="Calibri" w:eastAsia="Calibri" w:hAnsi="Calibri" w:cs="Times New Roman"/>
          <w:color w:val="auto"/>
          <w:sz w:val="20"/>
          <w:lang w:eastAsia="en-US"/>
        </w:rPr>
        <w:tab/>
        <w:t>$318,204</w:t>
      </w:r>
      <w:r w:rsidRPr="00FE173A">
        <w:rPr>
          <w:rFonts w:ascii="Calibri" w:eastAsia="Calibri" w:hAnsi="Calibri" w:cs="Times New Roman"/>
          <w:color w:val="auto"/>
          <w:sz w:val="20"/>
          <w:lang w:eastAsia="en-US"/>
        </w:rPr>
        <w:tab/>
        <w:t>$318,183</w:t>
      </w:r>
      <w:r w:rsidRPr="00FE173A">
        <w:rPr>
          <w:rFonts w:ascii="Calibri" w:eastAsia="Calibri" w:hAnsi="Calibri" w:cs="Times New Roman"/>
          <w:color w:val="auto"/>
          <w:sz w:val="20"/>
          <w:lang w:eastAsia="en-US"/>
        </w:rPr>
        <w:tab/>
        <w:t>+10.7%</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-0.006</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+10.7%</w:t>
      </w: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ab/>
        <w:t>Lincoln County</w:t>
      </w:r>
      <w:r w:rsidRPr="00FE173A">
        <w:rPr>
          <w:rFonts w:ascii="Calibri" w:eastAsia="Calibri" w:hAnsi="Calibri" w:cs="Times New Roman"/>
          <w:color w:val="auto"/>
          <w:sz w:val="20"/>
          <w:lang w:eastAsia="en-US"/>
        </w:rPr>
        <w:tab/>
        <w:t>$232,609</w:t>
      </w:r>
      <w:r w:rsidRPr="00FE173A">
        <w:rPr>
          <w:rFonts w:ascii="Calibri" w:eastAsia="Calibri" w:hAnsi="Calibri" w:cs="Times New Roman"/>
          <w:color w:val="auto"/>
          <w:sz w:val="20"/>
          <w:lang w:eastAsia="en-US"/>
        </w:rPr>
        <w:tab/>
        <w:t>$207,552</w:t>
      </w:r>
      <w:r w:rsidRPr="00FE173A">
        <w:rPr>
          <w:rFonts w:ascii="Calibri" w:eastAsia="Calibri" w:hAnsi="Calibri" w:cs="Times New Roman"/>
          <w:color w:val="auto"/>
          <w:sz w:val="20"/>
          <w:lang w:eastAsia="en-US"/>
        </w:rPr>
        <w:tab/>
        <w:t>$271,819</w:t>
      </w:r>
      <w:r w:rsidRPr="00FE173A">
        <w:rPr>
          <w:rFonts w:ascii="Calibri" w:eastAsia="Calibri" w:hAnsi="Calibri" w:cs="Times New Roman"/>
          <w:color w:val="auto"/>
          <w:sz w:val="20"/>
          <w:lang w:eastAsia="en-US"/>
        </w:rPr>
        <w:tab/>
        <w:t xml:space="preserve"> -10.8%</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+31.0%</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b/>
          <w:color w:val="auto"/>
          <w:sz w:val="20"/>
          <w:lang w:eastAsia="en-US"/>
        </w:rPr>
        <w:t>+16.9%</w:t>
      </w:r>
      <w:r w:rsidRPr="00FE173A">
        <w:rPr>
          <w:rFonts w:ascii="Calibri" w:eastAsia="Calibri" w:hAnsi="Calibri" w:cs="Times New Roman"/>
          <w:color w:val="auto"/>
          <w:sz w:val="20"/>
          <w:lang w:eastAsia="en-US"/>
        </w:rPr>
        <w:t xml:space="preserve">   </w:t>
      </w:r>
    </w:p>
    <w:p w:rsidR="00FE173A" w:rsidRPr="00FE173A" w:rsidRDefault="00FE173A" w:rsidP="00FE173A">
      <w:pPr>
        <w:spacing w:line="240" w:lineRule="auto"/>
        <w:contextualSpacing w:val="0"/>
        <w:rPr>
          <w:rFonts w:ascii="Calibri" w:eastAsia="Calibri" w:hAnsi="Calibri" w:cs="Times New Roman"/>
          <w:b/>
          <w:color w:val="auto"/>
          <w:sz w:val="20"/>
          <w:lang w:eastAsia="en-US"/>
        </w:rPr>
      </w:pPr>
      <w:r w:rsidRPr="00FE173A">
        <w:rPr>
          <w:rFonts w:ascii="Calibri" w:eastAsia="Calibri" w:hAnsi="Calibri" w:cs="Times New Roman"/>
          <w:color w:val="auto"/>
          <w:sz w:val="20"/>
          <w:lang w:eastAsia="en-US"/>
        </w:rPr>
        <w:tab/>
        <w:t>Sanders County</w:t>
      </w:r>
      <w:r w:rsidRPr="00FE173A">
        <w:rPr>
          <w:rFonts w:ascii="Calibri" w:eastAsia="Calibri" w:hAnsi="Calibri" w:cs="Times New Roman"/>
          <w:color w:val="auto"/>
          <w:sz w:val="20"/>
          <w:lang w:eastAsia="en-US"/>
        </w:rPr>
        <w:tab/>
        <w:t>$171,809</w:t>
      </w:r>
      <w:r w:rsidRPr="00FE173A">
        <w:rPr>
          <w:rFonts w:ascii="Calibri" w:eastAsia="Calibri" w:hAnsi="Calibri" w:cs="Times New Roman"/>
          <w:color w:val="auto"/>
          <w:sz w:val="20"/>
          <w:lang w:eastAsia="en-US"/>
        </w:rPr>
        <w:tab/>
        <w:t>$203,673</w:t>
      </w:r>
      <w:r w:rsidRPr="00FE173A">
        <w:rPr>
          <w:rFonts w:ascii="Calibri" w:eastAsia="Calibri" w:hAnsi="Calibri" w:cs="Times New Roman"/>
          <w:color w:val="auto"/>
          <w:sz w:val="20"/>
          <w:lang w:eastAsia="en-US"/>
        </w:rPr>
        <w:tab/>
        <w:t>$212,498</w:t>
      </w:r>
      <w:r w:rsidRPr="00FE173A">
        <w:rPr>
          <w:rFonts w:ascii="Calibri" w:eastAsia="Calibri" w:hAnsi="Calibri" w:cs="Times New Roman"/>
          <w:color w:val="auto"/>
          <w:sz w:val="20"/>
          <w:lang w:eastAsia="en-US"/>
        </w:rPr>
        <w:tab/>
        <w:t>+18.5%</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t xml:space="preserve">   +4.3%</w:t>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color w:val="auto"/>
          <w:sz w:val="20"/>
          <w:lang w:eastAsia="en-US"/>
        </w:rPr>
        <w:tab/>
      </w:r>
      <w:r w:rsidRPr="00FE173A">
        <w:rPr>
          <w:rFonts w:ascii="Calibri" w:eastAsia="Calibri" w:hAnsi="Calibri" w:cs="Times New Roman"/>
          <w:b/>
          <w:color w:val="auto"/>
          <w:sz w:val="20"/>
          <w:lang w:eastAsia="en-US"/>
        </w:rPr>
        <w:t>+23.7%</w:t>
      </w:r>
    </w:p>
    <w:p w:rsidR="00014BAD" w:rsidRDefault="00FE173A" w:rsidP="00FE173A">
      <w:pPr>
        <w:tabs>
          <w:tab w:val="left" w:pos="4425"/>
        </w:tabs>
        <w:jc w:val="both"/>
        <w:rPr>
          <w:rFonts w:ascii="Calibri" w:eastAsia="Calibri" w:hAnsi="Calibri" w:cs="Times New Roman"/>
          <w:szCs w:val="24"/>
          <w:lang w:eastAsia="en-US"/>
        </w:rPr>
      </w:pPr>
      <w:r>
        <w:rPr>
          <w:noProof/>
          <w:sz w:val="20"/>
          <w:lang w:eastAsia="en-US"/>
        </w:rPr>
        <w:drawing>
          <wp:inline distT="0" distB="0" distL="0" distR="0" wp14:anchorId="5EB8C204" wp14:editId="70F806EA">
            <wp:extent cx="5486400" cy="32004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FF5CCC">
        <w:rPr>
          <w:rFonts w:ascii="Calibri" w:eastAsia="Calibri" w:hAnsi="Calibri" w:cs="Times New Roman"/>
          <w:szCs w:val="24"/>
          <w:lang w:eastAsia="en-US"/>
        </w:rPr>
        <w:tab/>
      </w:r>
    </w:p>
    <w:p w:rsidR="00FE173A" w:rsidRDefault="00FE173A" w:rsidP="00FE173A">
      <w:pPr>
        <w:tabs>
          <w:tab w:val="left" w:pos="4425"/>
        </w:tabs>
        <w:jc w:val="both"/>
        <w:rPr>
          <w:rFonts w:ascii="Calibri" w:eastAsia="Calibri" w:hAnsi="Calibri" w:cs="Times New Roman"/>
          <w:szCs w:val="24"/>
          <w:lang w:eastAsia="en-US"/>
        </w:rPr>
      </w:pPr>
    </w:p>
    <w:p w:rsidR="00FE173A" w:rsidRP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0"/>
          <w:lang w:eastAsia="en-US"/>
        </w:rPr>
        <w:t>What’s immediately most noticeable is that average home sales prices increased substantially faster than wage/salary income over this same three-year period. While Flathead County averaged only a 5.3% increase in wage/salary income, home prices increased by a whopping 15.46% on average. Only Columbia Falls actually expressed a slight decline in home prices. Also note the dramatic increases in home prices over income gains in Lake, Lincoln and Sanders counties.</w:t>
      </w:r>
    </w:p>
    <w:p w:rsidR="00FE173A" w:rsidRPr="00FE173A" w:rsidRDefault="00FE173A" w:rsidP="00FE173A">
      <w:pPr>
        <w:spacing w:line="240" w:lineRule="auto"/>
        <w:contextualSpacing w:val="0"/>
        <w:rPr>
          <w:rFonts w:ascii="Calibri" w:eastAsia="Calibri" w:hAnsi="Calibri" w:cs="Times New Roman"/>
          <w:color w:val="auto"/>
          <w:sz w:val="20"/>
          <w:lang w:eastAsia="en-US"/>
        </w:rPr>
      </w:pPr>
    </w:p>
    <w:p w:rsidR="00FE173A" w:rsidRDefault="00FE173A" w:rsidP="00FE173A">
      <w:pPr>
        <w:spacing w:line="240" w:lineRule="auto"/>
        <w:contextualSpacing w:val="0"/>
        <w:rPr>
          <w:rFonts w:ascii="Calibri" w:eastAsia="Calibri" w:hAnsi="Calibri" w:cs="Times New Roman"/>
          <w:color w:val="auto"/>
          <w:sz w:val="20"/>
          <w:lang w:eastAsia="en-US"/>
        </w:rPr>
      </w:pPr>
      <w:r w:rsidRPr="00FE173A">
        <w:rPr>
          <w:rFonts w:ascii="Calibri" w:eastAsia="Calibri" w:hAnsi="Calibri" w:cs="Times New Roman"/>
          <w:color w:val="auto"/>
          <w:sz w:val="22"/>
          <w:szCs w:val="22"/>
          <w:u w:val="single"/>
          <w:lang w:eastAsia="en-US"/>
        </w:rPr>
        <w:t>2. Wages.</w:t>
      </w:r>
      <w:r w:rsidRPr="00FE173A">
        <w:rPr>
          <w:rFonts w:ascii="Calibri" w:eastAsia="Calibri" w:hAnsi="Calibri" w:cs="Times New Roman"/>
          <w:color w:val="auto"/>
          <w:sz w:val="20"/>
          <w:lang w:eastAsia="en-US"/>
        </w:rPr>
        <w:t xml:space="preserve"> This data come from the Montana Department of Labor “Local Area Profiles” and includes annual average wages by County. Here are the results for the same years/time period as presented above for housing:</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0"/>
          <w:u w:val="single"/>
          <w:lang w:eastAsia="en-US"/>
        </w:rPr>
        <w:t>Average Wages</w:t>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0"/>
          <w:lang w:eastAsia="en-US"/>
        </w:rPr>
        <w:t>Percent Change</w:t>
      </w:r>
      <w:r w:rsidRPr="00504873">
        <w:rPr>
          <w:rFonts w:ascii="Calibri" w:eastAsia="Calibri" w:hAnsi="Calibri" w:cs="Times New Roman"/>
          <w:color w:val="auto"/>
          <w:sz w:val="20"/>
          <w:lang w:eastAsia="en-US"/>
        </w:rPr>
        <w:tab/>
        <w:t xml:space="preserve">   Percent Change </w:t>
      </w:r>
      <w:r w:rsidRPr="00504873">
        <w:rPr>
          <w:rFonts w:ascii="Calibri" w:eastAsia="Calibri" w:hAnsi="Calibri" w:cs="Times New Roman"/>
          <w:color w:val="auto"/>
          <w:sz w:val="20"/>
          <w:lang w:eastAsia="en-US"/>
        </w:rPr>
        <w:tab/>
        <w:t>Total</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0"/>
          <w:lang w:eastAsia="en-US"/>
        </w:rPr>
        <w:t>2014</w:t>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2"/>
          <w:szCs w:val="22"/>
          <w:lang w:eastAsia="en-US"/>
        </w:rPr>
        <w:tab/>
      </w:r>
      <w:r w:rsidRPr="00504873">
        <w:rPr>
          <w:rFonts w:ascii="Calibri" w:eastAsia="Calibri" w:hAnsi="Calibri" w:cs="Times New Roman"/>
          <w:color w:val="auto"/>
          <w:sz w:val="20"/>
          <w:lang w:eastAsia="en-US"/>
        </w:rPr>
        <w:t>2015</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2016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(14-15)</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 xml:space="preserve">   (15-16)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(14-16)</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Flathead</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$37,336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$38,480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$39,312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+3.1%</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 xml:space="preserve">    +2.2%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+5.3%</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Lake</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$32,500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$33,540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$33,956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 xml:space="preserve">    +1.2%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+4.5%</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Lincoln</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$33,124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$33,904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$33,384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 xml:space="preserve">    -1.5%</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+0.08%</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Sanders</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$29,328</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$30,420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$30,940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+3.7%</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 xml:space="preserve">    +1.7%</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+5.5%</w:t>
      </w:r>
    </w:p>
    <w:p w:rsidR="00504873" w:rsidRDefault="00504873" w:rsidP="00FE173A">
      <w:pPr>
        <w:spacing w:line="240" w:lineRule="auto"/>
        <w:contextualSpacing w:val="0"/>
        <w:rPr>
          <w:rFonts w:ascii="Calibri" w:eastAsia="Calibri" w:hAnsi="Calibri" w:cs="Times New Roman"/>
          <w:color w:val="auto"/>
          <w:sz w:val="20"/>
          <w:lang w:eastAsia="en-US"/>
        </w:rPr>
      </w:pPr>
    </w:p>
    <w:p w:rsidR="00504873" w:rsidRDefault="00504873" w:rsidP="00FE173A">
      <w:pPr>
        <w:spacing w:line="240" w:lineRule="auto"/>
        <w:contextualSpacing w:val="0"/>
        <w:rPr>
          <w:rFonts w:ascii="Calibri" w:eastAsia="Calibri" w:hAnsi="Calibri" w:cs="Times New Roman"/>
          <w:color w:val="auto"/>
          <w:sz w:val="20"/>
          <w:lang w:eastAsia="en-US"/>
        </w:rPr>
      </w:pPr>
      <w:r>
        <w:rPr>
          <w:noProof/>
          <w:sz w:val="20"/>
          <w:lang w:eastAsia="en-US"/>
        </w:rPr>
        <w:drawing>
          <wp:inline distT="0" distB="0" distL="0" distR="0" wp14:anchorId="79D743F0" wp14:editId="5256477F">
            <wp:extent cx="5486400" cy="32004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Start w:id="1" w:name="_GoBack"/>
      <w:bookmarkEnd w:id="1"/>
    </w:p>
    <w:p w:rsidR="00504873" w:rsidRPr="00FE173A" w:rsidRDefault="00504873" w:rsidP="00FE173A">
      <w:pPr>
        <w:spacing w:line="240" w:lineRule="auto"/>
        <w:contextualSpacing w:val="0"/>
        <w:rPr>
          <w:rFonts w:ascii="Calibri" w:eastAsia="Calibri" w:hAnsi="Calibri" w:cs="Times New Roman"/>
          <w:color w:val="auto"/>
          <w:sz w:val="20"/>
          <w:lang w:eastAsia="en-US"/>
        </w:rPr>
      </w:pP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 xml:space="preserve">If we consider 2016 average annual wages by County for 2016 we find that “an average” worker can afford the following in </w:t>
      </w:r>
      <w:r w:rsidRPr="00504873">
        <w:rPr>
          <w:rFonts w:ascii="Calibri" w:eastAsia="Calibri" w:hAnsi="Calibri" w:cs="Times New Roman"/>
          <w:color w:val="auto"/>
          <w:sz w:val="20"/>
          <w:lang w:eastAsia="en-US"/>
        </w:rPr>
        <w:tab/>
        <w:t>rent (using the 30% rule for affordability including rent/mortgage and utilities) per month.</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2016 Wage</w:t>
      </w:r>
      <w:r w:rsidRPr="00504873">
        <w:rPr>
          <w:rFonts w:ascii="Calibri" w:eastAsia="Calibri" w:hAnsi="Calibri" w:cs="Times New Roman"/>
          <w:color w:val="auto"/>
          <w:sz w:val="20"/>
          <w:lang w:eastAsia="en-US"/>
        </w:rPr>
        <w:tab/>
        <w:t>30%</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Flathead</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$39,312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$11,793 annual or $983 monthly</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Lake</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$33,956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$10,187 annual or $849 monthly</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Lincoln</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$33,384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$10,015 annual or $835 monthly</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Sanders</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$30,940</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$9,282 annual or $774 monthly</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
    <w:p w:rsidR="00504873" w:rsidRPr="00504873" w:rsidRDefault="00504873" w:rsidP="00504873">
      <w:pPr>
        <w:spacing w:line="240" w:lineRule="auto"/>
        <w:contextualSpacing w:val="0"/>
        <w:rPr>
          <w:rFonts w:ascii="Calibri" w:eastAsia="Calibri" w:hAnsi="Calibri" w:cs="Times New Roman"/>
          <w:color w:val="auto"/>
          <w:sz w:val="20"/>
          <w:lang w:eastAsia="en-US"/>
        </w:rPr>
      </w:pP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 xml:space="preserve">If we look even more closely at the major employment/industry “sectors” where employment is the largest here’s what we </w:t>
      </w:r>
      <w:r w:rsidRPr="00504873">
        <w:rPr>
          <w:rFonts w:ascii="Calibri" w:eastAsia="Calibri" w:hAnsi="Calibri" w:cs="Times New Roman"/>
          <w:color w:val="auto"/>
          <w:sz w:val="20"/>
          <w:lang w:eastAsia="en-US"/>
        </w:rPr>
        <w:tab/>
        <w:t>find for 2016 annual wages per job:</w:t>
      </w:r>
    </w:p>
    <w:p w:rsidR="00504873" w:rsidRPr="00504873" w:rsidRDefault="00504873" w:rsidP="00504873">
      <w:pPr>
        <w:spacing w:line="240" w:lineRule="auto"/>
        <w:contextualSpacing w:val="0"/>
        <w:rPr>
          <w:rFonts w:ascii="Calibri" w:eastAsia="Calibri" w:hAnsi="Calibri" w:cs="Times New Roman"/>
          <w:color w:val="auto"/>
          <w:sz w:val="20"/>
          <w:lang w:eastAsia="en-US"/>
        </w:rPr>
      </w:pP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Accommodation (%)</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roofErr w:type="spellStart"/>
      <w:r w:rsidRPr="00504873">
        <w:rPr>
          <w:rFonts w:ascii="Calibri" w:eastAsia="Calibri" w:hAnsi="Calibri" w:cs="Times New Roman"/>
          <w:color w:val="auto"/>
          <w:sz w:val="20"/>
          <w:lang w:eastAsia="en-US"/>
        </w:rPr>
        <w:t>Accomm</w:t>
      </w:r>
      <w:proofErr w:type="spellEnd"/>
      <w:r w:rsidRPr="00504873">
        <w:rPr>
          <w:rFonts w:ascii="Calibri" w:eastAsia="Calibri" w:hAnsi="Calibri" w:cs="Times New Roman"/>
          <w:color w:val="auto"/>
          <w:sz w:val="20"/>
          <w:lang w:eastAsia="en-US"/>
        </w:rPr>
        <w:t>/Food (%)</w:t>
      </w:r>
      <w:r w:rsidRPr="00504873">
        <w:rPr>
          <w:rFonts w:ascii="Calibri" w:eastAsia="Calibri" w:hAnsi="Calibri" w:cs="Times New Roman"/>
          <w:color w:val="auto"/>
          <w:sz w:val="20"/>
          <w:lang w:eastAsia="en-US"/>
        </w:rPr>
        <w:tab/>
        <w:t>Food Services (%)</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Retail (%)</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Flathead</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$22,792 (2.2%)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$18,078 (7.4%)</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$16,107 (5.2%)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$29,173 (7.8%)</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Lake</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$14,288 (0.7%)</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$13,103 (5.6%)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$12,937</w:t>
      </w:r>
      <w:r w:rsidRPr="00504873">
        <w:rPr>
          <w:rFonts w:ascii="Calibri" w:eastAsia="Calibri" w:hAnsi="Calibri" w:cs="Times New Roman"/>
          <w:color w:val="auto"/>
          <w:sz w:val="20"/>
          <w:lang w:eastAsia="en-US"/>
        </w:rPr>
        <w:tab/>
        <w:t>(4.9%)</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$26,563 (7.9%)</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Lincoln</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$16,426 (1.2%)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$14,229 (5.6%)</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$13,648 (4.5%)</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$24,445 (8.0%)</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Sanders</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$16,667 (3.8%)</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$14,908 (7.3%)</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$12,997 (3.5%)</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$20,811 (6.8%)</w:t>
      </w:r>
    </w:p>
    <w:p w:rsidR="00504873" w:rsidRPr="00504873" w:rsidRDefault="00504873" w:rsidP="00504873">
      <w:pPr>
        <w:spacing w:line="240" w:lineRule="auto"/>
        <w:contextualSpacing w:val="0"/>
        <w:rPr>
          <w:rFonts w:ascii="Calibri" w:eastAsia="Calibri" w:hAnsi="Calibri" w:cs="Times New Roman"/>
          <w:color w:val="auto"/>
          <w:sz w:val="20"/>
          <w:lang w:eastAsia="en-US"/>
        </w:rPr>
      </w:pP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 xml:space="preserve">These “service sector” jobs offer a very different wage structure than the County’s averages which include all the higher </w:t>
      </w:r>
      <w:r w:rsidRPr="00504873">
        <w:rPr>
          <w:rFonts w:ascii="Calibri" w:eastAsia="Calibri" w:hAnsi="Calibri" w:cs="Times New Roman"/>
          <w:color w:val="auto"/>
          <w:sz w:val="20"/>
          <w:lang w:eastAsia="en-US"/>
        </w:rPr>
        <w:tab/>
        <w:t xml:space="preserve">paying jobs like health care, agriculture/forestry, computers/electronics, construction, finance and insurance, engineering, </w:t>
      </w:r>
      <w:r w:rsidRPr="00504873">
        <w:rPr>
          <w:rFonts w:ascii="Calibri" w:eastAsia="Calibri" w:hAnsi="Calibri" w:cs="Times New Roman"/>
          <w:color w:val="auto"/>
          <w:sz w:val="20"/>
          <w:lang w:eastAsia="en-US"/>
        </w:rPr>
        <w:tab/>
        <w:t xml:space="preserve">insurance, management, professional/technical, etc. Using that same 30% affordability target here are the annual and </w:t>
      </w:r>
      <w:r w:rsidRPr="00504873">
        <w:rPr>
          <w:rFonts w:ascii="Calibri" w:eastAsia="Calibri" w:hAnsi="Calibri" w:cs="Times New Roman"/>
          <w:color w:val="auto"/>
          <w:sz w:val="20"/>
          <w:lang w:eastAsia="en-US"/>
        </w:rPr>
        <w:tab/>
        <w:t>monthly income wage figures for this sector for just Flathead County:</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2016 Wage</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30%</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Flathead</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Accommodation</w:t>
      </w:r>
      <w:r w:rsidRPr="00504873">
        <w:rPr>
          <w:rFonts w:ascii="Calibri" w:eastAsia="Calibri" w:hAnsi="Calibri" w:cs="Times New Roman"/>
          <w:color w:val="auto"/>
          <w:sz w:val="20"/>
          <w:lang w:eastAsia="en-US"/>
        </w:rPr>
        <w:tab/>
        <w:t>$22,792</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$6,838 annual or $570 monthly</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proofErr w:type="spellStart"/>
      <w:r w:rsidRPr="00504873">
        <w:rPr>
          <w:rFonts w:ascii="Calibri" w:eastAsia="Calibri" w:hAnsi="Calibri" w:cs="Times New Roman"/>
          <w:color w:val="auto"/>
          <w:sz w:val="20"/>
          <w:lang w:eastAsia="en-US"/>
        </w:rPr>
        <w:t>Accomm</w:t>
      </w:r>
      <w:proofErr w:type="spellEnd"/>
      <w:r w:rsidRPr="00504873">
        <w:rPr>
          <w:rFonts w:ascii="Calibri" w:eastAsia="Calibri" w:hAnsi="Calibri" w:cs="Times New Roman"/>
          <w:color w:val="auto"/>
          <w:sz w:val="20"/>
          <w:lang w:eastAsia="en-US"/>
        </w:rPr>
        <w:t>/Food</w:t>
      </w:r>
      <w:r w:rsidRPr="00504873">
        <w:rPr>
          <w:rFonts w:ascii="Calibri" w:eastAsia="Calibri" w:hAnsi="Calibri" w:cs="Times New Roman"/>
          <w:color w:val="auto"/>
          <w:sz w:val="20"/>
          <w:lang w:eastAsia="en-US"/>
        </w:rPr>
        <w:tab/>
        <w:t>$18,078</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$5,423 annual or $452 monthly</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Food Services</w:t>
      </w:r>
      <w:r w:rsidRPr="00504873">
        <w:rPr>
          <w:rFonts w:ascii="Calibri" w:eastAsia="Calibri" w:hAnsi="Calibri" w:cs="Times New Roman"/>
          <w:color w:val="auto"/>
          <w:sz w:val="20"/>
          <w:lang w:eastAsia="en-US"/>
        </w:rPr>
        <w:tab/>
        <w:t>$16,107</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$4,832 annual or $403 monthly</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Retail</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$29,173</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$8,752 annual or $729 monthly</w:t>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r>
    </w:p>
    <w:p w:rsidR="00504873" w:rsidRPr="00504873" w:rsidRDefault="00504873" w:rsidP="00504873">
      <w:pPr>
        <w:spacing w:line="240" w:lineRule="auto"/>
        <w:contextualSpacing w:val="0"/>
        <w:rPr>
          <w:rFonts w:ascii="Calibri" w:eastAsia="Calibri" w:hAnsi="Calibri" w:cs="Times New Roman"/>
          <w:color w:val="auto"/>
          <w:sz w:val="20"/>
          <w:lang w:eastAsia="en-US"/>
        </w:rPr>
      </w:pPr>
      <w:r w:rsidRPr="00504873">
        <w:rPr>
          <w:rFonts w:ascii="Calibri" w:eastAsia="Calibri" w:hAnsi="Calibri" w:cs="Times New Roman"/>
          <w:color w:val="auto"/>
          <w:sz w:val="20"/>
          <w:lang w:eastAsia="en-US"/>
        </w:rPr>
        <w:tab/>
        <w:t xml:space="preserve">According to 2016 U.S. American Community Survey data, the Food Services person only having $403 in income for housing </w:t>
      </w:r>
      <w:r w:rsidRPr="00504873">
        <w:rPr>
          <w:rFonts w:ascii="Calibri" w:eastAsia="Calibri" w:hAnsi="Calibri" w:cs="Times New Roman"/>
          <w:color w:val="auto"/>
          <w:sz w:val="20"/>
          <w:lang w:eastAsia="en-US"/>
        </w:rPr>
        <w:tab/>
        <w:t xml:space="preserve">would only have their choice of 47.6% of Flathead County’s housing stock while the Retail worker would have access to 96% </w:t>
      </w:r>
      <w:r w:rsidRPr="00504873">
        <w:rPr>
          <w:rFonts w:ascii="Calibri" w:eastAsia="Calibri" w:hAnsi="Calibri" w:cs="Times New Roman"/>
          <w:color w:val="auto"/>
          <w:sz w:val="20"/>
          <w:lang w:eastAsia="en-US"/>
        </w:rPr>
        <w:tab/>
        <w:t xml:space="preserve">of the same housing stock. At these income levels, it is highly unlikely that a single-individual would be able to purchase a </w:t>
      </w:r>
      <w:r w:rsidRPr="00504873">
        <w:rPr>
          <w:rFonts w:ascii="Calibri" w:eastAsia="Calibri" w:hAnsi="Calibri" w:cs="Times New Roman"/>
          <w:color w:val="auto"/>
          <w:sz w:val="20"/>
          <w:lang w:eastAsia="en-US"/>
        </w:rPr>
        <w:tab/>
        <w:t xml:space="preserve">home in Flathead County, but renting can also be a challenge. A recent Whitefish Area Workforce Housing Study found that </w:t>
      </w:r>
      <w:r w:rsidRPr="00504873">
        <w:rPr>
          <w:rFonts w:ascii="Calibri" w:eastAsia="Calibri" w:hAnsi="Calibri" w:cs="Times New Roman"/>
          <w:color w:val="auto"/>
          <w:sz w:val="20"/>
          <w:lang w:eastAsia="en-US"/>
        </w:rPr>
        <w:tab/>
        <w:t xml:space="preserve">average rents in 2016 in the Whitefish area are $1,240 per month (which often did not include utilities). This is affordable </w:t>
      </w:r>
      <w:r w:rsidRPr="00504873">
        <w:rPr>
          <w:rFonts w:ascii="Calibri" w:eastAsia="Calibri" w:hAnsi="Calibri" w:cs="Times New Roman"/>
          <w:color w:val="auto"/>
          <w:sz w:val="20"/>
          <w:lang w:eastAsia="en-US"/>
        </w:rPr>
        <w:tab/>
        <w:t xml:space="preserve">for a two-person household earning $50,000 per year, over 50% of all Whitefish workers have lower incomes. Our average </w:t>
      </w:r>
      <w:r w:rsidRPr="00504873">
        <w:rPr>
          <w:rFonts w:ascii="Calibri" w:eastAsia="Calibri" w:hAnsi="Calibri" w:cs="Times New Roman"/>
          <w:color w:val="auto"/>
          <w:sz w:val="20"/>
          <w:lang w:eastAsia="en-US"/>
        </w:rPr>
        <w:tab/>
        <w:t xml:space="preserve">single retail worker would still fall short of an average 1-bedroom apartment at $775 in Whitefish (assuming that includes </w:t>
      </w:r>
      <w:r w:rsidRPr="00504873">
        <w:rPr>
          <w:rFonts w:ascii="Calibri" w:eastAsia="Calibri" w:hAnsi="Calibri" w:cs="Times New Roman"/>
          <w:color w:val="auto"/>
          <w:sz w:val="20"/>
          <w:lang w:eastAsia="en-US"/>
        </w:rPr>
        <w:tab/>
        <w:t xml:space="preserve">all utilities, etc. and this person is substantially better off financially then the many other service sector clients CAPNM </w:t>
      </w:r>
      <w:r w:rsidRPr="00504873">
        <w:rPr>
          <w:rFonts w:ascii="Calibri" w:eastAsia="Calibri" w:hAnsi="Calibri" w:cs="Times New Roman"/>
          <w:color w:val="auto"/>
          <w:sz w:val="20"/>
          <w:lang w:eastAsia="en-US"/>
        </w:rPr>
        <w:tab/>
      </w:r>
      <w:r w:rsidRPr="00504873">
        <w:rPr>
          <w:rFonts w:ascii="Calibri" w:eastAsia="Calibri" w:hAnsi="Calibri" w:cs="Times New Roman"/>
          <w:color w:val="auto"/>
          <w:sz w:val="20"/>
          <w:lang w:eastAsia="en-US"/>
        </w:rPr>
        <w:tab/>
        <w:t>serves annually.</w:t>
      </w:r>
    </w:p>
    <w:p w:rsidR="00C61AFC" w:rsidRDefault="00C61AFC" w:rsidP="00C61AFC">
      <w:pPr>
        <w:tabs>
          <w:tab w:val="left" w:pos="4425"/>
        </w:tabs>
        <w:jc w:val="center"/>
        <w:rPr>
          <w:rFonts w:ascii="Arial Black" w:hAnsi="Arial Black"/>
          <w:b/>
          <w:noProof/>
          <w:szCs w:val="24"/>
          <w:u w:val="single"/>
          <w:lang w:eastAsia="en-US"/>
        </w:rPr>
      </w:pPr>
    </w:p>
    <w:p w:rsidR="00504873" w:rsidRDefault="00022F24" w:rsidP="00ED2E0E">
      <w:pPr>
        <w:tabs>
          <w:tab w:val="left" w:pos="4425"/>
        </w:tabs>
        <w:rPr>
          <w:rFonts w:ascii="Calibri" w:eastAsia="Calibri" w:hAnsi="Calibri" w:cs="Times New Roman"/>
          <w:szCs w:val="24"/>
          <w:lang w:eastAsia="en-US"/>
        </w:rPr>
      </w:pPr>
      <w:r>
        <w:rPr>
          <w:rFonts w:ascii="Arial Black" w:eastAsia="Calibri" w:hAnsi="Arial Black" w:cs="Times New Roman"/>
          <w:b/>
          <w:noProof/>
          <w:color w:val="auto"/>
          <w:szCs w:val="24"/>
          <w:u w:val="single"/>
          <w:lang w:eastAsia="en-US"/>
        </w:rPr>
        <w:drawing>
          <wp:anchor distT="0" distB="0" distL="114300" distR="114300" simplePos="0" relativeHeight="251673600" behindDoc="1" locked="0" layoutInCell="1" allowOverlap="1">
            <wp:simplePos x="0" y="0"/>
            <wp:positionH relativeFrom="column">
              <wp:posOffset>2628900</wp:posOffset>
            </wp:positionH>
            <wp:positionV relativeFrom="paragraph">
              <wp:posOffset>20320</wp:posOffset>
            </wp:positionV>
            <wp:extent cx="4224655" cy="5838825"/>
            <wp:effectExtent l="0" t="0" r="444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HR pics.jpg"/>
                    <pic:cNvPicPr/>
                  </pic:nvPicPr>
                  <pic:blipFill>
                    <a:blip r:embed="rId22">
                      <a:extLst>
                        <a:ext uri="{28A0092B-C50C-407E-A947-70E740481C1C}">
                          <a14:useLocalDpi xmlns:a14="http://schemas.microsoft.com/office/drawing/2010/main" val="0"/>
                        </a:ext>
                      </a:extLst>
                    </a:blip>
                    <a:stretch>
                      <a:fillRect/>
                    </a:stretch>
                  </pic:blipFill>
                  <pic:spPr>
                    <a:xfrm>
                      <a:off x="0" y="0"/>
                      <a:ext cx="4226619" cy="5841540"/>
                    </a:xfrm>
                    <a:prstGeom prst="rect">
                      <a:avLst/>
                    </a:prstGeom>
                  </pic:spPr>
                </pic:pic>
              </a:graphicData>
            </a:graphic>
            <wp14:sizeRelH relativeFrom="page">
              <wp14:pctWidth>0</wp14:pctWidth>
            </wp14:sizeRelH>
            <wp14:sizeRelV relativeFrom="page">
              <wp14:pctHeight>0</wp14:pctHeight>
            </wp14:sizeRelV>
          </wp:anchor>
        </w:drawing>
      </w:r>
      <w:r w:rsidR="00504873" w:rsidRPr="00451363">
        <w:rPr>
          <w:rFonts w:ascii="Arial Black" w:hAnsi="Arial Black"/>
          <w:b/>
          <w:noProof/>
          <w:szCs w:val="24"/>
          <w:u w:val="single"/>
          <w:lang w:eastAsia="en-US"/>
        </w:rPr>
        <w:drawing>
          <wp:inline distT="0" distB="0" distL="0" distR="0" wp14:anchorId="6811AE4C" wp14:editId="09588B21">
            <wp:extent cx="1876425" cy="573843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8823" cy="5776347"/>
                    </a:xfrm>
                    <a:prstGeom prst="rect">
                      <a:avLst/>
                    </a:prstGeom>
                    <a:noFill/>
                    <a:ln>
                      <a:noFill/>
                    </a:ln>
                  </pic:spPr>
                </pic:pic>
              </a:graphicData>
            </a:graphic>
          </wp:inline>
        </w:drawing>
      </w:r>
    </w:p>
    <w:p w:rsidR="00504873" w:rsidRDefault="00504873" w:rsidP="00504873">
      <w:pPr>
        <w:tabs>
          <w:tab w:val="left" w:pos="4425"/>
        </w:tabs>
        <w:rPr>
          <w:rFonts w:ascii="Calibri" w:eastAsia="Calibri" w:hAnsi="Calibri" w:cs="Times New Roman"/>
          <w:szCs w:val="24"/>
          <w:lang w:eastAsia="en-US"/>
        </w:rPr>
      </w:pPr>
    </w:p>
    <w:p w:rsidR="00AC07A1" w:rsidRDefault="00AC07A1" w:rsidP="00E6669C">
      <w:pPr>
        <w:spacing w:after="160" w:line="259" w:lineRule="auto"/>
        <w:contextualSpacing w:val="0"/>
        <w:rPr>
          <w:rFonts w:ascii="Arial Black" w:eastAsia="Calibri" w:hAnsi="Arial Black" w:cs="Times New Roman"/>
          <w:b/>
          <w:color w:val="auto"/>
          <w:szCs w:val="24"/>
          <w:u w:val="single"/>
          <w:lang w:eastAsia="en-US"/>
        </w:rPr>
      </w:pPr>
    </w:p>
    <w:p w:rsidR="00AC07A1" w:rsidRDefault="00AC07A1" w:rsidP="00E6669C">
      <w:pPr>
        <w:spacing w:after="160" w:line="259" w:lineRule="auto"/>
        <w:contextualSpacing w:val="0"/>
        <w:rPr>
          <w:rFonts w:ascii="Arial Black" w:eastAsia="Calibri" w:hAnsi="Arial Black" w:cs="Times New Roman"/>
          <w:b/>
          <w:color w:val="auto"/>
          <w:szCs w:val="24"/>
          <w:u w:val="single"/>
          <w:lang w:eastAsia="en-US"/>
        </w:rPr>
      </w:pPr>
    </w:p>
    <w:p w:rsidR="00AC07A1" w:rsidRDefault="00AC07A1" w:rsidP="00E6669C">
      <w:pPr>
        <w:spacing w:after="160" w:line="259" w:lineRule="auto"/>
        <w:contextualSpacing w:val="0"/>
        <w:rPr>
          <w:rFonts w:ascii="Arial Black" w:eastAsia="Calibri" w:hAnsi="Arial Black" w:cs="Times New Roman"/>
          <w:b/>
          <w:color w:val="auto"/>
          <w:szCs w:val="24"/>
          <w:u w:val="single"/>
          <w:lang w:eastAsia="en-US"/>
        </w:rPr>
      </w:pPr>
    </w:p>
    <w:p w:rsidR="00AC07A1" w:rsidRDefault="00AC07A1" w:rsidP="00E6669C">
      <w:pPr>
        <w:spacing w:after="160" w:line="259" w:lineRule="auto"/>
        <w:contextualSpacing w:val="0"/>
        <w:rPr>
          <w:rFonts w:ascii="Arial Black" w:eastAsia="Calibri" w:hAnsi="Arial Black" w:cs="Times New Roman"/>
          <w:b/>
          <w:color w:val="auto"/>
          <w:szCs w:val="24"/>
          <w:u w:val="single"/>
          <w:lang w:eastAsia="en-US"/>
        </w:rPr>
      </w:pPr>
    </w:p>
    <w:p w:rsidR="00AC07A1" w:rsidRDefault="00AC07A1" w:rsidP="00E6669C">
      <w:pPr>
        <w:spacing w:after="160" w:line="259" w:lineRule="auto"/>
        <w:contextualSpacing w:val="0"/>
        <w:rPr>
          <w:rFonts w:ascii="Arial Black" w:eastAsia="Calibri" w:hAnsi="Arial Black" w:cs="Times New Roman"/>
          <w:b/>
          <w:color w:val="auto"/>
          <w:szCs w:val="24"/>
          <w:u w:val="single"/>
          <w:lang w:eastAsia="en-US"/>
        </w:rPr>
      </w:pPr>
    </w:p>
    <w:p w:rsidR="00E6669C" w:rsidRPr="00E6669C" w:rsidRDefault="00E6669C" w:rsidP="00E6669C">
      <w:pPr>
        <w:spacing w:after="160" w:line="259" w:lineRule="auto"/>
        <w:contextualSpacing w:val="0"/>
        <w:rPr>
          <w:rFonts w:ascii="Arial Black" w:eastAsia="Calibri" w:hAnsi="Arial Black" w:cs="Times New Roman"/>
          <w:b/>
          <w:color w:val="auto"/>
          <w:szCs w:val="24"/>
          <w:u w:val="single"/>
          <w:lang w:eastAsia="en-US"/>
        </w:rPr>
      </w:pPr>
      <w:r w:rsidRPr="00E6669C">
        <w:rPr>
          <w:rFonts w:ascii="Arial Black" w:eastAsia="Calibri" w:hAnsi="Arial Black" w:cs="Times New Roman"/>
          <w:b/>
          <w:color w:val="auto"/>
          <w:szCs w:val="24"/>
          <w:u w:val="single"/>
          <w:lang w:eastAsia="en-US"/>
        </w:rPr>
        <w:t xml:space="preserve">C. 4 County Demographic Comparisons </w:t>
      </w:r>
    </w:p>
    <w:p w:rsidR="00E6669C" w:rsidRPr="00E6669C" w:rsidRDefault="00E6669C" w:rsidP="00E6669C">
      <w:pPr>
        <w:spacing w:line="240" w:lineRule="auto"/>
        <w:contextualSpacing w:val="0"/>
        <w:rPr>
          <w:rFonts w:ascii="Calibri" w:eastAsia="Calibri" w:hAnsi="Calibri" w:cs="Times New Roman"/>
          <w:b/>
          <w:color w:val="auto"/>
          <w:szCs w:val="24"/>
          <w:u w:val="single"/>
          <w:lang w:eastAsia="en-US"/>
        </w:rPr>
      </w:pPr>
    </w:p>
    <w:p w:rsidR="00E6669C" w:rsidRPr="00E6669C" w:rsidRDefault="00E6669C" w:rsidP="00E6669C">
      <w:p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 xml:space="preserve">Overall between 2000 and 2016 the region saw general improvements in most social and economic indicators. Some of this undoubtedly was tied to improvements in the national, state and regional economy ‘post-recession.’ In other cases some improvements were directly tied to human service program strategies and positive outcomes. Together they meant for better times for many residents. </w:t>
      </w:r>
    </w:p>
    <w:p w:rsidR="00E6669C" w:rsidRPr="00E6669C" w:rsidRDefault="00E6669C" w:rsidP="00E6669C">
      <w:pPr>
        <w:spacing w:line="240" w:lineRule="auto"/>
        <w:contextualSpacing w:val="0"/>
        <w:jc w:val="both"/>
        <w:rPr>
          <w:rFonts w:ascii="Calibri" w:eastAsia="Calibri" w:hAnsi="Calibri" w:cs="Times New Roman"/>
          <w:color w:val="auto"/>
          <w:sz w:val="22"/>
          <w:szCs w:val="22"/>
          <w:lang w:eastAsia="en-US"/>
        </w:rPr>
      </w:pPr>
    </w:p>
    <w:p w:rsidR="00E6669C" w:rsidRPr="00E6669C" w:rsidRDefault="00E6669C" w:rsidP="00E6669C">
      <w:p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Here are some other highlights in comparing trends between Counties (in no particular priority):</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Flathead and Lake counties have an age distribution pretty much equal to Montana and the nation, whereas Lincoln and Sanders are largely comprised of retirement age households</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The percent of the population with a disability in Lake, Lincoln and Sanders counties is substantially higher than State and national averages</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The continuing high percentage of residents who live outside incorporated towns and cities (78.68%) compared to the United States (19.11%) means that it is a challenge for residents to access social services and for social services agencies to serve eligible clients</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NW Montana has a substantially higher percentage of veterans (13.72%) in the population as compared to the State of Montana (11.06%) and the United States (8.01%)</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The percentage of NW Montana households that are eligible for free or reduced lunch (51.98%) is much higher than the State of Montana (46.21%)</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Though NW Montanans had a slightly higher housing cost burden than the Montana (32.17% v. 28.54%) it was actually lower than the US (32.89%)</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The percent of NW Montana families earning over $75,000 annually was expectedly lower than Montana (32.63% v. 40.26%) and the United States (45.19%). This was most evident in Lincoln (24.39%) and Sanders (22.73%) counties.</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1,307 households in our four county service area received a total of $3,276,100 dollars of income from public assistance for an average of $2,506 per household (or 11.9% of the State total against 15.1% of the State’s population)</w:t>
      </w:r>
    </w:p>
    <w:p w:rsidR="00E6669C" w:rsidRPr="00E6669C" w:rsidRDefault="00E6669C" w:rsidP="00E6669C">
      <w:pPr>
        <w:numPr>
          <w:ilvl w:val="0"/>
          <w:numId w:val="29"/>
        </w:numPr>
        <w:spacing w:line="240" w:lineRule="auto"/>
        <w:contextualSpacing w:val="0"/>
        <w:jc w:val="both"/>
        <w:rPr>
          <w:rFonts w:ascii="Calibri" w:eastAsia="Calibri" w:hAnsi="Calibri" w:cs="Times New Roman"/>
          <w:color w:val="auto"/>
          <w:sz w:val="22"/>
          <w:szCs w:val="22"/>
          <w:lang w:eastAsia="en-US"/>
        </w:rPr>
      </w:pPr>
      <w:r w:rsidRPr="00E6669C">
        <w:rPr>
          <w:rFonts w:ascii="Calibri" w:eastAsia="Calibri" w:hAnsi="Calibri" w:cs="Times New Roman"/>
          <w:color w:val="auto"/>
          <w:sz w:val="22"/>
          <w:szCs w:val="22"/>
          <w:lang w:eastAsia="en-US"/>
        </w:rPr>
        <w:t>An average of 14% of NW Montana residents receive SNAP (food assistance) benefits compared to Montana at 11.2%</w:t>
      </w:r>
    </w:p>
    <w:p w:rsidR="00C61AFC" w:rsidRDefault="00C61AFC" w:rsidP="00504873">
      <w:pPr>
        <w:tabs>
          <w:tab w:val="left" w:pos="4425"/>
        </w:tabs>
        <w:rPr>
          <w:rFonts w:ascii="Calibri" w:eastAsia="Calibri" w:hAnsi="Calibri" w:cs="Times New Roman"/>
          <w:szCs w:val="24"/>
          <w:lang w:eastAsia="en-US"/>
        </w:rPr>
      </w:pPr>
    </w:p>
    <w:p w:rsidR="00022F24" w:rsidRPr="00022F24" w:rsidRDefault="00022F24" w:rsidP="00022F24">
      <w:pPr>
        <w:spacing w:line="240" w:lineRule="auto"/>
        <w:ind w:left="720"/>
        <w:contextualSpacing w:val="0"/>
        <w:jc w:val="both"/>
        <w:rPr>
          <w:rFonts w:ascii="Calibri" w:eastAsia="Calibri" w:hAnsi="Calibri" w:cs="Times New Roman"/>
          <w:color w:val="auto"/>
          <w:sz w:val="20"/>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POPULATON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Total Pop 2016 (4)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Total Pop 2000 (2)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Pop Change 2000-2016 (4,2)</w:t>
            </w:r>
          </w:p>
        </w:tc>
        <w:tc>
          <w:tcPr>
            <w:tcW w:w="1542" w:type="dxa"/>
          </w:tcPr>
          <w:p w:rsidR="00022F24" w:rsidRPr="00234793"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234793">
              <w:rPr>
                <w:rFonts w:ascii="Calibri" w:eastAsia="Calibri" w:hAnsi="Calibri" w:cs="Times New Roman"/>
                <w:b/>
                <w:color w:val="auto"/>
                <w:sz w:val="18"/>
                <w:szCs w:val="18"/>
                <w:highlight w:val="yellow"/>
              </w:rPr>
              <w:t>Percent Change 2000-2016 (4,2)</w:t>
            </w:r>
          </w:p>
        </w:tc>
        <w:tc>
          <w:tcPr>
            <w:tcW w:w="1542"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Median Age (4)</w:t>
            </w:r>
          </w:p>
        </w:tc>
        <w:tc>
          <w:tcPr>
            <w:tcW w:w="1542"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Percent Pop with a Disability (4)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97.693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74,477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23,216</w:t>
            </w:r>
          </w:p>
        </w:tc>
        <w:tc>
          <w:tcPr>
            <w:tcW w:w="1542" w:type="dxa"/>
          </w:tcPr>
          <w:p w:rsidR="00022F24" w:rsidRPr="00234793" w:rsidRDefault="00022F24" w:rsidP="00022F24">
            <w:pPr>
              <w:spacing w:line="240" w:lineRule="auto"/>
              <w:contextualSpacing w:val="0"/>
              <w:jc w:val="center"/>
              <w:rPr>
                <w:rFonts w:ascii="Calibri" w:eastAsia="Calibri" w:hAnsi="Calibri" w:cs="Times New Roman"/>
                <w:b/>
                <w:color w:val="auto"/>
                <w:sz w:val="20"/>
                <w:highlight w:val="yellow"/>
              </w:rPr>
            </w:pPr>
            <w:r w:rsidRPr="00234793">
              <w:rPr>
                <w:rFonts w:ascii="Calibri" w:eastAsia="Calibri" w:hAnsi="Calibri" w:cs="Times New Roman"/>
                <w:b/>
                <w:color w:val="auto"/>
                <w:sz w:val="20"/>
                <w:highlight w:val="yellow"/>
              </w:rPr>
              <w:t>31.2%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10.74%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29,711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26,507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3,204</w:t>
            </w:r>
          </w:p>
        </w:tc>
        <w:tc>
          <w:tcPr>
            <w:tcW w:w="1542" w:type="dxa"/>
          </w:tcPr>
          <w:p w:rsidR="00022F24" w:rsidRPr="00234793" w:rsidRDefault="00022F24" w:rsidP="00022F24">
            <w:pPr>
              <w:spacing w:line="240" w:lineRule="auto"/>
              <w:contextualSpacing w:val="0"/>
              <w:jc w:val="center"/>
              <w:rPr>
                <w:rFonts w:ascii="Calibri" w:eastAsia="Calibri" w:hAnsi="Calibri" w:cs="Times New Roman"/>
                <w:b/>
                <w:color w:val="auto"/>
                <w:sz w:val="20"/>
                <w:highlight w:val="yellow"/>
              </w:rPr>
            </w:pPr>
            <w:r w:rsidRPr="00234793">
              <w:rPr>
                <w:rFonts w:ascii="Calibri" w:eastAsia="Calibri" w:hAnsi="Calibri" w:cs="Times New Roman"/>
                <w:b/>
                <w:color w:val="auto"/>
                <w:sz w:val="20"/>
                <w:highlight w:val="yellow"/>
              </w:rPr>
              <w:t>12.1%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41.5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14.51%</w:t>
            </w:r>
          </w:p>
        </w:tc>
      </w:tr>
      <w:tr w:rsidR="00022F24" w:rsidRPr="00022F24" w:rsidTr="00022F24">
        <w:trPr>
          <w:trHeight w:val="70"/>
        </w:trPr>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19,230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18,837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393</w:t>
            </w:r>
          </w:p>
        </w:tc>
        <w:tc>
          <w:tcPr>
            <w:tcW w:w="1542" w:type="dxa"/>
          </w:tcPr>
          <w:p w:rsidR="00022F24" w:rsidRPr="00234793" w:rsidRDefault="00022F24" w:rsidP="00022F24">
            <w:pPr>
              <w:spacing w:line="240" w:lineRule="auto"/>
              <w:contextualSpacing w:val="0"/>
              <w:jc w:val="center"/>
              <w:rPr>
                <w:rFonts w:ascii="Calibri" w:eastAsia="Calibri" w:hAnsi="Calibri" w:cs="Times New Roman"/>
                <w:b/>
                <w:color w:val="auto"/>
                <w:sz w:val="20"/>
                <w:highlight w:val="yellow"/>
              </w:rPr>
            </w:pPr>
            <w:r w:rsidRPr="00234793">
              <w:rPr>
                <w:rFonts w:ascii="Calibri" w:eastAsia="Calibri" w:hAnsi="Calibri" w:cs="Times New Roman"/>
                <w:b/>
                <w:color w:val="auto"/>
                <w:sz w:val="20"/>
                <w:highlight w:val="yellow"/>
              </w:rPr>
              <w:t>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51.4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21.1%</w:t>
            </w:r>
          </w:p>
        </w:tc>
      </w:tr>
      <w:tr w:rsidR="00022F24" w:rsidRPr="00022F24" w:rsidTr="00234793">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11,466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10,227</w:t>
            </w:r>
          </w:p>
        </w:tc>
        <w:tc>
          <w:tcPr>
            <w:tcW w:w="1541" w:type="dxa"/>
          </w:tcPr>
          <w:p w:rsidR="00022F24" w:rsidRPr="00234793"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1,239</w:t>
            </w:r>
          </w:p>
        </w:tc>
        <w:tc>
          <w:tcPr>
            <w:tcW w:w="1542" w:type="dxa"/>
          </w:tcPr>
          <w:p w:rsidR="00022F24" w:rsidRPr="00234793" w:rsidRDefault="00022F24" w:rsidP="00022F24">
            <w:pPr>
              <w:spacing w:line="240" w:lineRule="auto"/>
              <w:contextualSpacing w:val="0"/>
              <w:jc w:val="center"/>
              <w:rPr>
                <w:rFonts w:ascii="Calibri" w:eastAsia="Calibri" w:hAnsi="Calibri" w:cs="Times New Roman"/>
                <w:b/>
                <w:color w:val="auto"/>
                <w:sz w:val="20"/>
                <w:highlight w:val="yellow"/>
              </w:rPr>
            </w:pPr>
            <w:r w:rsidRPr="00234793">
              <w:rPr>
                <w:rFonts w:ascii="Calibri" w:eastAsia="Calibri" w:hAnsi="Calibri" w:cs="Times New Roman"/>
                <w:b/>
                <w:color w:val="auto"/>
                <w:sz w:val="20"/>
                <w:highlight w:val="yellow"/>
              </w:rPr>
              <w:t>12.1%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51.9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19.24%</w:t>
            </w:r>
          </w:p>
        </w:tc>
      </w:tr>
    </w:tbl>
    <w:p w:rsidR="00022F24" w:rsidRPr="00022F24" w:rsidRDefault="009B1084" w:rsidP="00022F24">
      <w:pPr>
        <w:spacing w:line="240" w:lineRule="auto"/>
        <w:contextualSpacing w:val="0"/>
        <w:jc w:val="both"/>
        <w:rPr>
          <w:rFonts w:ascii="Calibri" w:eastAsia="Calibri" w:hAnsi="Calibri" w:cs="Times New Roman"/>
          <w:color w:val="auto"/>
          <w:sz w:val="22"/>
          <w:szCs w:val="22"/>
          <w:lang w:eastAsia="en-US"/>
        </w:rPr>
      </w:pPr>
      <w:r>
        <w:rPr>
          <w:rFonts w:ascii="Calibri" w:eastAsia="Calibri" w:hAnsi="Calibri" w:cs="Times New Roman"/>
          <w:noProof/>
          <w:color w:val="auto"/>
          <w:sz w:val="22"/>
          <w:szCs w:val="22"/>
          <w:lang w:eastAsia="en-US"/>
        </w:rPr>
        <w:drawing>
          <wp:inline distT="0" distB="0" distL="0" distR="0">
            <wp:extent cx="5486400" cy="3200400"/>
            <wp:effectExtent l="0" t="0" r="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551728">
        <w:rPr>
          <w:rFonts w:ascii="Calibri" w:eastAsia="Calibri" w:hAnsi="Calibri" w:cs="Times New Roman"/>
          <w:color w:val="auto"/>
          <w:sz w:val="22"/>
          <w:szCs w:val="22"/>
          <w:lang w:eastAsia="en-US"/>
        </w:rPr>
        <w:br/>
      </w: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POPULATION (4)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xml:space="preserve">% of Pop That is Urban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 xml:space="preserve">Veterans as a % of Pop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 xml:space="preserve">% Eligible for Free/Reduced Lunch </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highlight w:val="yellow"/>
              </w:rPr>
            </w:pPr>
            <w:r w:rsidRPr="00022F24">
              <w:rPr>
                <w:rFonts w:ascii="Calibri" w:eastAsia="Calibri" w:hAnsi="Calibri" w:cs="Times New Roman"/>
                <w:b/>
                <w:color w:val="auto"/>
                <w:sz w:val="20"/>
                <w:highlight w:val="yellow"/>
              </w:rPr>
              <w:t xml:space="preserve">Housing Cost Burden (% of Pop) </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 xml:space="preserve">% of Families with Incomes Over $75K </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 of Households w/Public Assistance Income</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48.52%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11.65%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43.91%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highlight w:val="yellow"/>
              </w:rPr>
            </w:pPr>
            <w:r w:rsidRPr="00022F24">
              <w:rPr>
                <w:rFonts w:ascii="Calibri" w:eastAsia="Calibri" w:hAnsi="Calibri" w:cs="Times New Roman"/>
                <w:b/>
                <w:color w:val="auto"/>
                <w:sz w:val="20"/>
                <w:highlight w:val="yellow"/>
              </w:rPr>
              <w:t>33.06%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35.83%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1.94%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16.57%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12.24%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70.03%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highlight w:val="yellow"/>
              </w:rPr>
            </w:pPr>
            <w:r w:rsidRPr="00022F24">
              <w:rPr>
                <w:rFonts w:ascii="Calibri" w:eastAsia="Calibri" w:hAnsi="Calibri" w:cs="Times New Roman"/>
                <w:b/>
                <w:color w:val="auto"/>
                <w:sz w:val="20"/>
                <w:highlight w:val="yellow"/>
              </w:rPr>
              <w:t>29.79%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31.96%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2.44%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20.21%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15.21%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63.4%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highlight w:val="yellow"/>
              </w:rPr>
            </w:pPr>
            <w:r w:rsidRPr="00022F24">
              <w:rPr>
                <w:rFonts w:ascii="Calibri" w:eastAsia="Calibri" w:hAnsi="Calibri" w:cs="Times New Roman"/>
                <w:b/>
                <w:color w:val="auto"/>
                <w:sz w:val="20"/>
                <w:highlight w:val="yellow"/>
              </w:rPr>
              <w:t>30.83%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24.39%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2.06%</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15.79%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63.51%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highlight w:val="yellow"/>
              </w:rPr>
            </w:pPr>
            <w:r w:rsidRPr="00022F24">
              <w:rPr>
                <w:rFonts w:ascii="Calibri" w:eastAsia="Calibri" w:hAnsi="Calibri" w:cs="Times New Roman"/>
                <w:b/>
                <w:color w:val="auto"/>
                <w:sz w:val="20"/>
                <w:highlight w:val="yellow"/>
              </w:rPr>
              <w:t>33.47%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22.73%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2.16%</w:t>
            </w:r>
          </w:p>
        </w:tc>
      </w:tr>
    </w:tbl>
    <w:p w:rsidR="00022F24" w:rsidRPr="00022F24" w:rsidRDefault="00234793" w:rsidP="00022F24">
      <w:pPr>
        <w:spacing w:line="240" w:lineRule="auto"/>
        <w:contextualSpacing w:val="0"/>
        <w:jc w:val="both"/>
        <w:rPr>
          <w:rFonts w:ascii="Calibri" w:eastAsia="Calibri" w:hAnsi="Calibri" w:cs="Times New Roman"/>
          <w:color w:val="auto"/>
          <w:sz w:val="22"/>
          <w:szCs w:val="22"/>
          <w:lang w:eastAsia="en-US"/>
        </w:rPr>
      </w:pPr>
      <w:r>
        <w:rPr>
          <w:rFonts w:ascii="Calibri" w:eastAsia="Calibri" w:hAnsi="Calibri" w:cs="Times New Roman"/>
          <w:color w:val="auto"/>
          <w:sz w:val="22"/>
          <w:szCs w:val="22"/>
          <w:lang w:eastAsia="en-US"/>
        </w:rPr>
        <w:br/>
      </w:r>
      <w:r>
        <w:rPr>
          <w:rFonts w:ascii="Calibri" w:eastAsia="Calibri" w:hAnsi="Calibri" w:cs="Times New Roman"/>
          <w:noProof/>
          <w:color w:val="auto"/>
          <w:sz w:val="22"/>
          <w:szCs w:val="22"/>
          <w:lang w:eastAsia="en-US"/>
        </w:rPr>
        <w:drawing>
          <wp:inline distT="0" distB="0" distL="0" distR="0">
            <wp:extent cx="5486400" cy="3200400"/>
            <wp:effectExtent l="0" t="0" r="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POPULATION (4)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Pop Receiving Medicaid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Pop Lacking Medical Insurance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Pop Receiving SNAP Benefits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Pop Age 25+ with No High School Diploma</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Children &lt;18 Living in Poverty</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Teen Birth Rate (Per 1,000 Pop)</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18.95%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15.91%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35.4%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31.75%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28.18%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9.36%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28.84%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52.2%</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23.75%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20.16%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11.89%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29.8%</w:t>
            </w:r>
          </w:p>
        </w:tc>
      </w:tr>
      <w:tr w:rsidR="00022F24" w:rsidRPr="00022F24" w:rsidTr="00022F24">
        <w:trPr>
          <w:trHeight w:val="70"/>
        </w:trPr>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22.94%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25.01%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11.91%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36.57%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29.3%</w:t>
            </w:r>
          </w:p>
        </w:tc>
      </w:tr>
    </w:tbl>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GROUPS (4)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Under 17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18-54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Over 55 (#)</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Under 17 (% of total)</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18-54 (% of total)</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Over 55 (% of total)</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21,236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42,006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31,454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22.43%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44.35%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33.20%</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7,192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11,863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10,256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24.54%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40.47%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34.99%</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3,509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7,188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8,571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18.21%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37.30%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44.48%</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2,105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4,015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5,255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18.51%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35.30%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20"/>
              </w:rPr>
            </w:pPr>
            <w:r w:rsidRPr="00022F24">
              <w:rPr>
                <w:rFonts w:ascii="Calibri" w:eastAsia="Calibri" w:hAnsi="Calibri" w:cs="Times New Roman"/>
                <w:b/>
                <w:color w:val="auto"/>
                <w:sz w:val="20"/>
              </w:rPr>
              <w:t>46.20%</w:t>
            </w:r>
          </w:p>
        </w:tc>
      </w:tr>
    </w:tbl>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INCOME (4)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Median Household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22"/>
              </w:rPr>
            </w:pPr>
            <w:r w:rsidRPr="00022F24">
              <w:rPr>
                <w:rFonts w:ascii="Calibri" w:eastAsia="Calibri" w:hAnsi="Calibri" w:cs="Times New Roman"/>
                <w:b/>
                <w:color w:val="auto"/>
                <w:sz w:val="18"/>
                <w:szCs w:val="18"/>
              </w:rPr>
              <w:t>Per Capita</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White Per Capita</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Native American Per Capita</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Asian Per Capita</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Multiple Race Per Capita</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highlight w:val="yellow"/>
                <w:u w:val="single"/>
              </w:rPr>
            </w:pPr>
            <w:r w:rsidRPr="00022F24">
              <w:rPr>
                <w:rFonts w:ascii="Calibri" w:eastAsia="Calibri" w:hAnsi="Calibri" w:cs="Times New Roman"/>
                <w:b/>
                <w:color w:val="auto"/>
                <w:sz w:val="18"/>
                <w:szCs w:val="18"/>
                <w:highlight w:val="yellow"/>
              </w:rPr>
              <w:t>$60,365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$27,083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$27,638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$18,497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$18,985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$13,916</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highlight w:val="yellow"/>
                <w:u w:val="single"/>
              </w:rPr>
            </w:pPr>
            <w:r w:rsidRPr="00022F24">
              <w:rPr>
                <w:rFonts w:ascii="Calibri" w:eastAsia="Calibri" w:hAnsi="Calibri" w:cs="Times New Roman"/>
                <w:b/>
                <w:color w:val="auto"/>
                <w:sz w:val="18"/>
                <w:szCs w:val="18"/>
                <w:highlight w:val="yellow"/>
              </w:rPr>
              <w:t xml:space="preserve">$52,807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$23,190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$26,955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$17,855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$15,459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$13,843</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highlight w:val="yellow"/>
                <w:u w:val="single"/>
              </w:rPr>
            </w:pPr>
            <w:r w:rsidRPr="00022F24">
              <w:rPr>
                <w:rFonts w:ascii="Calibri" w:eastAsia="Calibri" w:hAnsi="Calibri" w:cs="Times New Roman"/>
                <w:b/>
                <w:color w:val="auto"/>
                <w:sz w:val="18"/>
                <w:szCs w:val="18"/>
                <w:highlight w:val="yellow"/>
              </w:rPr>
              <w:t xml:space="preserve">$45,542 </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$22,404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$22,638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$11,782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$21,802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$17,693</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highlight w:val="yellow"/>
                <w:u w:val="single"/>
              </w:rPr>
            </w:pPr>
            <w:r w:rsidRPr="00022F24">
              <w:rPr>
                <w:rFonts w:ascii="Calibri" w:eastAsia="Calibri" w:hAnsi="Calibri" w:cs="Times New Roman"/>
                <w:b/>
                <w:color w:val="auto"/>
                <w:sz w:val="18"/>
                <w:szCs w:val="18"/>
                <w:highlight w:val="yellow"/>
              </w:rPr>
              <w:t>$42,946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$20,809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$21,305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$8,005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$16,258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$15,263</w:t>
            </w:r>
          </w:p>
        </w:tc>
      </w:tr>
    </w:tbl>
    <w:p w:rsidR="00022F24" w:rsidRPr="00022F24" w:rsidRDefault="00234793" w:rsidP="00022F24">
      <w:pPr>
        <w:spacing w:line="240" w:lineRule="auto"/>
        <w:contextualSpacing w:val="0"/>
        <w:jc w:val="both"/>
        <w:rPr>
          <w:rFonts w:ascii="Calibri" w:eastAsia="Calibri" w:hAnsi="Calibri" w:cs="Times New Roman"/>
          <w:color w:val="auto"/>
          <w:sz w:val="22"/>
          <w:szCs w:val="22"/>
          <w:lang w:eastAsia="en-US"/>
        </w:rPr>
      </w:pPr>
      <w:r>
        <w:rPr>
          <w:rFonts w:ascii="Calibri" w:eastAsia="Calibri" w:hAnsi="Calibri" w:cs="Times New Roman"/>
          <w:color w:val="auto"/>
          <w:sz w:val="22"/>
          <w:szCs w:val="22"/>
          <w:lang w:eastAsia="en-US"/>
        </w:rPr>
        <w:br/>
      </w:r>
      <w:r w:rsidR="00ED2E0E">
        <w:rPr>
          <w:rFonts w:ascii="Calibri" w:eastAsia="Calibri" w:hAnsi="Calibri" w:cs="Times New Roman"/>
          <w:noProof/>
          <w:color w:val="auto"/>
          <w:sz w:val="22"/>
          <w:szCs w:val="22"/>
          <w:lang w:eastAsia="en-US"/>
        </w:rPr>
        <w:drawing>
          <wp:inline distT="0" distB="0" distL="0" distR="0">
            <wp:extent cx="5486400" cy="3200400"/>
            <wp:effectExtent l="0" t="0" r="0"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HOUSING</w:t>
            </w:r>
          </w:p>
        </w:tc>
        <w:tc>
          <w:tcPr>
            <w:tcW w:w="1541" w:type="dxa"/>
            <w:shd w:val="clear" w:color="auto" w:fill="auto"/>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Owner Occupied - Residential (2016)</w:t>
            </w:r>
          </w:p>
        </w:tc>
        <w:tc>
          <w:tcPr>
            <w:tcW w:w="1541" w:type="dxa"/>
            <w:shd w:val="clear" w:color="auto" w:fill="auto"/>
          </w:tcPr>
          <w:p w:rsidR="00022F24" w:rsidRPr="00022F24" w:rsidRDefault="00022F24" w:rsidP="00022F24">
            <w:pPr>
              <w:spacing w:line="240" w:lineRule="auto"/>
              <w:contextualSpacing w:val="0"/>
              <w:rPr>
                <w:rFonts w:ascii="Calibri" w:eastAsia="Calibri" w:hAnsi="Calibri" w:cs="Times New Roman"/>
                <w:b/>
                <w:color w:val="auto"/>
                <w:sz w:val="16"/>
                <w:szCs w:val="16"/>
                <w:u w:val="single"/>
              </w:rPr>
            </w:pPr>
            <w:r w:rsidRPr="00022F24">
              <w:rPr>
                <w:rFonts w:ascii="Calibri" w:eastAsia="Calibri" w:hAnsi="Calibri" w:cs="Times New Roman"/>
                <w:b/>
                <w:color w:val="auto"/>
                <w:sz w:val="16"/>
                <w:szCs w:val="16"/>
              </w:rPr>
              <w:t>Occupied housing units without plumbing/% (2016)</w:t>
            </w:r>
          </w:p>
        </w:tc>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 xml:space="preserve">Fair Market Rent </w:t>
            </w:r>
            <w:r w:rsidRPr="00022F24">
              <w:rPr>
                <w:rFonts w:ascii="Calibri" w:eastAsia="Calibri" w:hAnsi="Calibri" w:cs="Times New Roman"/>
                <w:b/>
                <w:color w:val="auto"/>
                <w:sz w:val="16"/>
                <w:szCs w:val="16"/>
              </w:rPr>
              <w:t>(3):</w:t>
            </w:r>
          </w:p>
          <w:p w:rsidR="00022F24" w:rsidRPr="00022F24" w:rsidRDefault="00022F24" w:rsidP="00022F24">
            <w:pPr>
              <w:spacing w:line="240" w:lineRule="auto"/>
              <w:contextualSpacing w:val="0"/>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Efficiency</w:t>
            </w:r>
          </w:p>
        </w:tc>
        <w:tc>
          <w:tcPr>
            <w:tcW w:w="1542"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 xml:space="preserve">Fair Market Rent </w:t>
            </w:r>
            <w:r w:rsidRPr="00022F24">
              <w:rPr>
                <w:rFonts w:ascii="Calibri" w:eastAsia="Calibri" w:hAnsi="Calibri" w:cs="Times New Roman"/>
                <w:b/>
                <w:color w:val="auto"/>
                <w:sz w:val="16"/>
                <w:szCs w:val="16"/>
              </w:rPr>
              <w:t>(3):</w:t>
            </w:r>
            <w:r w:rsidRPr="00022F24">
              <w:rPr>
                <w:rFonts w:ascii="Calibri" w:eastAsia="Calibri" w:hAnsi="Calibri" w:cs="Times New Roman"/>
                <w:b/>
                <w:color w:val="auto"/>
                <w:sz w:val="18"/>
                <w:szCs w:val="18"/>
              </w:rPr>
              <w:t>:</w:t>
            </w:r>
          </w:p>
          <w:p w:rsidR="00022F24" w:rsidRPr="00022F24" w:rsidRDefault="00022F24" w:rsidP="00022F24">
            <w:pPr>
              <w:spacing w:line="240" w:lineRule="auto"/>
              <w:contextualSpacing w:val="0"/>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One-Bedroom</w:t>
            </w:r>
          </w:p>
        </w:tc>
        <w:tc>
          <w:tcPr>
            <w:tcW w:w="1542"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 xml:space="preserve">Fair Market Rent </w:t>
            </w:r>
            <w:r w:rsidRPr="00022F24">
              <w:rPr>
                <w:rFonts w:ascii="Calibri" w:eastAsia="Calibri" w:hAnsi="Calibri" w:cs="Times New Roman"/>
                <w:b/>
                <w:color w:val="auto"/>
                <w:sz w:val="16"/>
                <w:szCs w:val="16"/>
              </w:rPr>
              <w:t>(3):</w:t>
            </w:r>
            <w:r w:rsidRPr="00022F24">
              <w:rPr>
                <w:rFonts w:ascii="Calibri" w:eastAsia="Calibri" w:hAnsi="Calibri" w:cs="Times New Roman"/>
                <w:b/>
                <w:color w:val="auto"/>
                <w:sz w:val="18"/>
                <w:szCs w:val="18"/>
              </w:rPr>
              <w:t>:</w:t>
            </w:r>
          </w:p>
          <w:p w:rsidR="00022F24" w:rsidRPr="00022F24" w:rsidRDefault="00022F24" w:rsidP="00022F24">
            <w:pPr>
              <w:spacing w:line="240" w:lineRule="auto"/>
              <w:contextualSpacing w:val="0"/>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Two Bedroom</w:t>
            </w:r>
          </w:p>
        </w:tc>
        <w:tc>
          <w:tcPr>
            <w:tcW w:w="1542"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 xml:space="preserve">Fair Market Rent </w:t>
            </w:r>
            <w:r w:rsidRPr="00022F24">
              <w:rPr>
                <w:rFonts w:ascii="Calibri" w:eastAsia="Calibri" w:hAnsi="Calibri" w:cs="Times New Roman"/>
                <w:b/>
                <w:color w:val="auto"/>
                <w:sz w:val="16"/>
                <w:szCs w:val="16"/>
              </w:rPr>
              <w:t>(3):</w:t>
            </w:r>
            <w:r w:rsidRPr="00022F24">
              <w:rPr>
                <w:rFonts w:ascii="Calibri" w:eastAsia="Calibri" w:hAnsi="Calibri" w:cs="Times New Roman"/>
                <w:b/>
                <w:color w:val="auto"/>
                <w:sz w:val="18"/>
                <w:szCs w:val="18"/>
              </w:rPr>
              <w:t>:</w:t>
            </w:r>
          </w:p>
          <w:p w:rsidR="00022F24" w:rsidRPr="00022F24" w:rsidRDefault="00022F24" w:rsidP="00022F24">
            <w:pPr>
              <w:spacing w:line="240" w:lineRule="auto"/>
              <w:contextualSpacing w:val="0"/>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Three Bedroom</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shd w:val="clear" w:color="auto" w:fill="auto"/>
          </w:tcPr>
          <w:p w:rsidR="00022F24" w:rsidRPr="00022F24" w:rsidRDefault="00022F24" w:rsidP="00022F24">
            <w:pPr>
              <w:spacing w:line="240" w:lineRule="auto"/>
              <w:contextualSpacing w:val="0"/>
              <w:jc w:val="center"/>
              <w:rPr>
                <w:rFonts w:ascii="Calibri" w:eastAsia="Calibri" w:hAnsi="Calibri" w:cs="Times New Roman"/>
                <w:b/>
                <w:color w:val="auto"/>
                <w:sz w:val="16"/>
                <w:szCs w:val="16"/>
              </w:rPr>
            </w:pPr>
            <w:r w:rsidRPr="00022F24">
              <w:rPr>
                <w:rFonts w:ascii="Calibri" w:eastAsia="Calibri" w:hAnsi="Calibri" w:cs="Times New Roman"/>
                <w:b/>
                <w:color w:val="auto"/>
                <w:sz w:val="18"/>
                <w:szCs w:val="18"/>
              </w:rPr>
              <w:t>71.0%</w:t>
            </w:r>
          </w:p>
        </w:tc>
        <w:tc>
          <w:tcPr>
            <w:tcW w:w="1541" w:type="dxa"/>
            <w:shd w:val="clear" w:color="auto" w:fill="auto"/>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228/0.6%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$586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$1,087</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shd w:val="clear" w:color="auto" w:fill="auto"/>
          </w:tcPr>
          <w:p w:rsidR="00022F24" w:rsidRPr="00022F24" w:rsidRDefault="00022F24" w:rsidP="00022F24">
            <w:pPr>
              <w:spacing w:line="240" w:lineRule="auto"/>
              <w:contextualSpacing w:val="0"/>
              <w:jc w:val="center"/>
              <w:rPr>
                <w:rFonts w:ascii="Calibri" w:eastAsia="Calibri" w:hAnsi="Calibri" w:cs="Times New Roman"/>
                <w:b/>
                <w:color w:val="auto"/>
                <w:sz w:val="18"/>
                <w:szCs w:val="18"/>
                <w:u w:val="single"/>
              </w:rPr>
            </w:pPr>
            <w:r w:rsidRPr="00022F24">
              <w:rPr>
                <w:rFonts w:ascii="Calibri" w:eastAsia="Calibri" w:hAnsi="Calibri" w:cs="Times New Roman"/>
                <w:b/>
                <w:color w:val="auto"/>
                <w:sz w:val="18"/>
                <w:szCs w:val="18"/>
              </w:rPr>
              <w:t>74.8%</w:t>
            </w:r>
          </w:p>
        </w:tc>
        <w:tc>
          <w:tcPr>
            <w:tcW w:w="1541" w:type="dxa"/>
            <w:shd w:val="clear" w:color="auto" w:fill="auto"/>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36/0.3%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$446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$602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$695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$989</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u w:val="single"/>
              </w:rPr>
            </w:pPr>
            <w:r w:rsidRPr="00022F24">
              <w:rPr>
                <w:rFonts w:ascii="Calibri" w:eastAsia="Calibri" w:hAnsi="Calibri" w:cs="Times New Roman"/>
                <w:b/>
                <w:color w:val="auto"/>
                <w:sz w:val="18"/>
                <w:szCs w:val="18"/>
              </w:rPr>
              <w:t>79.2%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102/1.2%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$565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$681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$852</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Cs w:val="24"/>
                <w:u w:val="single"/>
              </w:rPr>
            </w:pPr>
            <w:r w:rsidRPr="00022F24">
              <w:rPr>
                <w:rFonts w:ascii="Calibri" w:eastAsia="Calibri" w:hAnsi="Calibri" w:cs="Times New Roman"/>
                <w:b/>
                <w:color w:val="auto"/>
                <w:sz w:val="18"/>
                <w:szCs w:val="18"/>
              </w:rPr>
              <w:t>75.6%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81/1.6%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$516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$681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$887</w:t>
            </w:r>
          </w:p>
        </w:tc>
      </w:tr>
    </w:tbl>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HOUSING</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HUD Assisted Units Per 10,000 Housing Units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Housing Stock Built After 1980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Owner Occupied Stock Built After 1980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Renter Occupied Stock Built After 1980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Loan Origination Approval Rate</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Home Purchase Loan Origination Value (highest %)</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155.44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57.25%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59.13%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50.01%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52.29%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47.8% (&gt;$220k)</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113.33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50.54%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52.43%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47.46%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49.25%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37.24% ($120-1999k)</w:t>
            </w:r>
          </w:p>
        </w:tc>
      </w:tr>
      <w:tr w:rsidR="00022F24" w:rsidRPr="00022F24" w:rsidTr="00022F24">
        <w:trPr>
          <w:trHeight w:val="70"/>
        </w:trPr>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96.38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48.44%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49.70%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25.93%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49.35%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37.11% ($120-199k)</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82.36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54.03%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57.83%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48.16%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49.2%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42.03% ($120-199k)</w:t>
            </w:r>
          </w:p>
        </w:tc>
      </w:tr>
    </w:tbl>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jc w:val="both"/>
              <w:rPr>
                <w:rFonts w:ascii="Calibri" w:eastAsia="Calibri" w:hAnsi="Calibri" w:cs="Times New Roman"/>
                <w:b/>
                <w:color w:val="auto"/>
                <w:sz w:val="18"/>
                <w:szCs w:val="18"/>
              </w:rPr>
            </w:pPr>
            <w:r w:rsidRPr="00022F24">
              <w:rPr>
                <w:rFonts w:ascii="Calibri" w:eastAsia="Calibri" w:hAnsi="Calibri" w:cs="Times New Roman"/>
                <w:b/>
                <w:color w:val="auto"/>
                <w:sz w:val="18"/>
                <w:szCs w:val="18"/>
              </w:rPr>
              <w:t>HOUSING</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 of Housing Units Overcrowded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Overcrowded Units That are Substandard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Housing Units Lacking Complete Kitchen Facilities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Vacancy Rate (all units)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Vacancy Rate (units not for sale or rent)</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1.95%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33.71%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2.38%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20.64%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44.44%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5.08%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32.31%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27.93%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47.07%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p>
        </w:tc>
      </w:tr>
      <w:tr w:rsidR="00022F24" w:rsidRPr="00022F24" w:rsidTr="00022F24">
        <w:trPr>
          <w:trHeight w:val="70"/>
        </w:trPr>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1.86%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32.33%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7.45%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25.64%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45.24%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2.06%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34.66%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24.32%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46.83%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p>
        </w:tc>
      </w:tr>
    </w:tbl>
    <w:p w:rsidR="00022F24" w:rsidRPr="00022F24" w:rsidRDefault="00ED2E0E" w:rsidP="00022F24">
      <w:pPr>
        <w:spacing w:line="240" w:lineRule="auto"/>
        <w:contextualSpacing w:val="0"/>
        <w:jc w:val="both"/>
        <w:rPr>
          <w:rFonts w:ascii="Calibri" w:eastAsia="Calibri" w:hAnsi="Calibri" w:cs="Times New Roman"/>
          <w:color w:val="auto"/>
          <w:sz w:val="22"/>
          <w:szCs w:val="22"/>
          <w:lang w:eastAsia="en-US"/>
        </w:rPr>
      </w:pPr>
      <w:r>
        <w:rPr>
          <w:rFonts w:ascii="Calibri" w:eastAsia="Calibri" w:hAnsi="Calibri" w:cs="Times New Roman"/>
          <w:color w:val="auto"/>
          <w:sz w:val="22"/>
          <w:szCs w:val="22"/>
          <w:lang w:eastAsia="en-US"/>
        </w:rPr>
        <w:br/>
      </w:r>
      <w:r>
        <w:rPr>
          <w:rFonts w:ascii="Calibri" w:eastAsia="Calibri" w:hAnsi="Calibri" w:cs="Times New Roman"/>
          <w:noProof/>
          <w:color w:val="auto"/>
          <w:sz w:val="22"/>
          <w:szCs w:val="22"/>
          <w:lang w:eastAsia="en-US"/>
        </w:rPr>
        <w:drawing>
          <wp:inline distT="0" distB="0" distL="0" distR="0">
            <wp:extent cx="5486400" cy="320040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rPr>
          <w:trHeight w:val="350"/>
        </w:trPr>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POVERTY</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All ages, # of people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All ages, Rate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0-17, Persons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0-17, Poverty Rate</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5-17, Persons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5-17, Poverty Rate</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12,875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13.77%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3,920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19.0%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2,917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19.4%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6,206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21.44%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2,023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28.8%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1,307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25.3%</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3,410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17.9%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733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21.8%</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2,493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highlight w:val="yellow"/>
              </w:rPr>
            </w:pPr>
            <w:r w:rsidRPr="00022F24">
              <w:rPr>
                <w:rFonts w:ascii="Calibri" w:eastAsia="Calibri" w:hAnsi="Calibri" w:cs="Times New Roman"/>
                <w:b/>
                <w:color w:val="auto"/>
                <w:sz w:val="18"/>
                <w:szCs w:val="18"/>
                <w:highlight w:val="yellow"/>
              </w:rPr>
              <w:t>22.3%</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735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43.9%</w:t>
            </w:r>
          </w:p>
        </w:tc>
      </w:tr>
    </w:tbl>
    <w:p w:rsidR="00022F24" w:rsidRPr="00022F24" w:rsidRDefault="00ED2E0E" w:rsidP="00022F24">
      <w:pPr>
        <w:spacing w:line="240" w:lineRule="auto"/>
        <w:contextualSpacing w:val="0"/>
        <w:rPr>
          <w:rFonts w:ascii="Calibri" w:eastAsia="Calibri" w:hAnsi="Calibri" w:cs="Times New Roman"/>
          <w:color w:val="auto"/>
          <w:sz w:val="16"/>
          <w:szCs w:val="16"/>
          <w:u w:val="single"/>
          <w:lang w:eastAsia="en-US"/>
        </w:rPr>
      </w:pPr>
      <w:r>
        <w:rPr>
          <w:rFonts w:ascii="Calibri" w:eastAsia="Calibri" w:hAnsi="Calibri" w:cs="Times New Roman"/>
          <w:color w:val="auto"/>
          <w:sz w:val="16"/>
          <w:szCs w:val="16"/>
          <w:u w:val="single"/>
          <w:lang w:eastAsia="en-US"/>
        </w:rPr>
        <w:br/>
      </w:r>
      <w:r>
        <w:rPr>
          <w:rFonts w:ascii="Calibri" w:eastAsia="Calibri" w:hAnsi="Calibri" w:cs="Times New Roman"/>
          <w:noProof/>
          <w:color w:val="auto"/>
          <w:sz w:val="16"/>
          <w:szCs w:val="16"/>
          <w:u w:val="single"/>
          <w:lang w:eastAsia="en-US"/>
        </w:rPr>
        <w:drawing>
          <wp:inline distT="0" distB="0" distL="0" distR="0">
            <wp:extent cx="5486400" cy="3200400"/>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FOOD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Food Desert Pop</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Pop with Low Food Access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Low Income Pop w/Local Food Access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Pop in Census Tracts w/No Healthy Food Outlets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SNAP Authorized Food Stores Per 10,000 Pop</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WIC Authorized Food Stores Per 100,000 Pop</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31,279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15.28%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15.88%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9.22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15.3</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5,591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5.84%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3.74%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17.96%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27.6</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13,386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13.04%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10.48%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11.17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30.7</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7,869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42.14%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42.49%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16.13%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14.9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43.7</w:t>
            </w:r>
          </w:p>
        </w:tc>
      </w:tr>
    </w:tbl>
    <w:p w:rsidR="00022F24" w:rsidRPr="00022F24" w:rsidRDefault="00022F24" w:rsidP="00022F24">
      <w:pPr>
        <w:spacing w:line="240" w:lineRule="auto"/>
        <w:ind w:firstLine="720"/>
        <w:contextualSpacing w:val="0"/>
        <w:rPr>
          <w:rFonts w:ascii="Calibri" w:eastAsia="Calibri" w:hAnsi="Calibri" w:cs="Times New Roman"/>
          <w:color w:val="auto"/>
          <w:sz w:val="16"/>
          <w:szCs w:val="16"/>
          <w:u w:val="single"/>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HEALTH</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Dentists Per 100,000 Pop</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Mental Health Providers Per 100,000</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Primary Care Physicians Per 100,000</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Female Medicare Enrollees Age 67-69 Who Got a Mammogram in Past 2 Yrs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50+ Who Had Colonoscopy in Past Year</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18+ Without Dental Exam in Past 12 Months</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62.39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241.2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75.85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64.6%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38.9%</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71.29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161.5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61.86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64.7%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51.8%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47.24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177.7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83.66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53.1%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51.9%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47.8%</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35.29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255.1</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79.2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47.3%</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0%</w:t>
            </w:r>
          </w:p>
        </w:tc>
      </w:tr>
    </w:tbl>
    <w:p w:rsidR="00022F24" w:rsidRPr="00022F24" w:rsidRDefault="00022F24" w:rsidP="00022F24">
      <w:pPr>
        <w:spacing w:line="240" w:lineRule="auto"/>
        <w:contextualSpacing w:val="0"/>
        <w:rPr>
          <w:rFonts w:ascii="Calibri" w:eastAsia="Calibri" w:hAnsi="Calibri" w:cs="Times New Roman"/>
          <w:color w:val="auto"/>
          <w:sz w:val="16"/>
          <w:szCs w:val="16"/>
          <w:u w:val="single"/>
          <w:lang w:eastAsia="en-US"/>
        </w:rPr>
      </w:pPr>
    </w:p>
    <w:p w:rsidR="00022F24" w:rsidRPr="00022F24" w:rsidRDefault="00022F24" w:rsidP="00022F24">
      <w:pPr>
        <w:spacing w:line="240" w:lineRule="auto"/>
        <w:contextualSpacing w:val="0"/>
        <w:rPr>
          <w:rFonts w:ascii="Calibri" w:eastAsia="Calibri" w:hAnsi="Calibri" w:cs="Times New Roman"/>
          <w:color w:val="auto"/>
          <w:sz w:val="16"/>
          <w:szCs w:val="16"/>
          <w:u w:val="single"/>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HEALTH</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18+ Who Drink Excessively</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18+ With Inadequate Fruit/Vegetable Consumption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20+ With No Leisure Time Physical Activity</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Adults 18+ Who Smoke Nearly Daily</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Who Bike or Walk to Work</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Medicare Patients Reporting Depression</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18.9%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72.4%</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17.1%</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3.84%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14%</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75.5%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13.8%</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15.8%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22.4%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5.36%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12.7%</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16.9%</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20.4%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23.2%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6.09%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11.2%</w:t>
            </w:r>
          </w:p>
        </w:tc>
      </w:tr>
    </w:tbl>
    <w:p w:rsidR="00022F24" w:rsidRPr="00022F24" w:rsidRDefault="00022F24" w:rsidP="00022F24">
      <w:pPr>
        <w:spacing w:line="240" w:lineRule="auto"/>
        <w:contextualSpacing w:val="0"/>
        <w:rPr>
          <w:rFonts w:ascii="Calibri" w:eastAsia="Calibri" w:hAnsi="Calibri" w:cs="Times New Roman"/>
          <w:color w:val="auto"/>
          <w:sz w:val="16"/>
          <w:szCs w:val="16"/>
          <w:u w:val="single"/>
          <w:lang w:eastAsia="en-US"/>
        </w:rPr>
      </w:pPr>
    </w:p>
    <w:p w:rsidR="00022F24" w:rsidRPr="00022F24" w:rsidRDefault="00022F24" w:rsidP="00022F24">
      <w:pPr>
        <w:spacing w:line="240" w:lineRule="auto"/>
        <w:contextualSpacing w:val="0"/>
        <w:rPr>
          <w:rFonts w:ascii="Calibri" w:eastAsia="Calibri" w:hAnsi="Calibri" w:cs="Times New Roman"/>
          <w:color w:val="auto"/>
          <w:sz w:val="16"/>
          <w:szCs w:val="16"/>
          <w:u w:val="single"/>
          <w:lang w:eastAsia="en-US"/>
        </w:rPr>
      </w:pPr>
    </w:p>
    <w:tbl>
      <w:tblPr>
        <w:tblStyle w:val="TableGrid6"/>
        <w:tblW w:w="0" w:type="auto"/>
        <w:tblLook w:val="04A0" w:firstRow="1" w:lastRow="0" w:firstColumn="1" w:lastColumn="0" w:noHBand="0" w:noVBand="1"/>
      </w:tblPr>
      <w:tblGrid>
        <w:gridCol w:w="1541"/>
        <w:gridCol w:w="1541"/>
        <w:gridCol w:w="1541"/>
        <w:gridCol w:w="1541"/>
        <w:gridCol w:w="1542"/>
        <w:gridCol w:w="1542"/>
        <w:gridCol w:w="1542"/>
      </w:tblGrid>
      <w:tr w:rsidR="00022F24" w:rsidRPr="00022F24" w:rsidTr="00022F24">
        <w:tc>
          <w:tcPr>
            <w:tcW w:w="1541" w:type="dxa"/>
          </w:tcPr>
          <w:p w:rsidR="00022F24" w:rsidRPr="00022F24" w:rsidRDefault="00022F24" w:rsidP="00022F24">
            <w:pPr>
              <w:spacing w:line="240" w:lineRule="auto"/>
              <w:contextualSpacing w:val="0"/>
              <w:rPr>
                <w:rFonts w:ascii="Calibri" w:eastAsia="Calibri" w:hAnsi="Calibri" w:cs="Times New Roman"/>
                <w:b/>
                <w:color w:val="auto"/>
                <w:sz w:val="18"/>
                <w:szCs w:val="18"/>
              </w:rPr>
            </w:pPr>
            <w:r w:rsidRPr="00022F24">
              <w:rPr>
                <w:rFonts w:ascii="Calibri" w:eastAsia="Calibri" w:hAnsi="Calibri" w:cs="Times New Roman"/>
                <w:b/>
                <w:color w:val="auto"/>
                <w:sz w:val="18"/>
                <w:szCs w:val="18"/>
              </w:rPr>
              <w:t>HEALTH</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of Adults 20+ with Diabetes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Adults 18+ with Heart Disease</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Adults 18+ with High Blood Pressure</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 Adults 18+ with High Cholesterol</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Infant Mortality Rate Per 1,000 Births</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Age Adjusted Deaths Due to Suicide Per 100,000 Pop</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Flathead</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22.5%</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36.56%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21.5</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Lake</w:t>
            </w:r>
          </w:p>
          <w:p w:rsidR="00022F24" w:rsidRPr="00022F24" w:rsidRDefault="00022F24" w:rsidP="00022F24">
            <w:pPr>
              <w:spacing w:line="240" w:lineRule="auto"/>
              <w:contextualSpacing w:val="0"/>
              <w:jc w:val="right"/>
              <w:rPr>
                <w:rFonts w:ascii="Calibri" w:eastAsia="Calibri" w:hAnsi="Calibri" w:cs="Times New Roman"/>
                <w:color w:val="auto"/>
                <w:sz w:val="18"/>
                <w:szCs w:val="18"/>
              </w:rPr>
            </w:pP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8.5%</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25.8%</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40.72%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8.9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33.9</w:t>
            </w:r>
          </w:p>
        </w:tc>
      </w:tr>
      <w:tr w:rsidR="00022F24" w:rsidRPr="00022F24" w:rsidTr="00022F24">
        <w:trPr>
          <w:trHeight w:val="70"/>
        </w:trPr>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Lincoln</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7.8%</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5.2%</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27.9%</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36.34%</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6.7</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31.1</w:t>
            </w:r>
          </w:p>
        </w:tc>
      </w:tr>
      <w:tr w:rsidR="00022F24" w:rsidRPr="00022F24" w:rsidTr="00022F24">
        <w:tc>
          <w:tcPr>
            <w:tcW w:w="1541" w:type="dxa"/>
          </w:tcPr>
          <w:p w:rsidR="00022F24" w:rsidRPr="00022F24" w:rsidRDefault="00022F24" w:rsidP="00022F24">
            <w:pPr>
              <w:spacing w:line="240" w:lineRule="auto"/>
              <w:contextualSpacing w:val="0"/>
              <w:jc w:val="right"/>
              <w:rPr>
                <w:rFonts w:ascii="Calibri" w:eastAsia="Calibri" w:hAnsi="Calibri" w:cs="Times New Roman"/>
                <w:color w:val="auto"/>
                <w:sz w:val="18"/>
                <w:szCs w:val="18"/>
              </w:rPr>
            </w:pPr>
            <w:r w:rsidRPr="00022F24">
              <w:rPr>
                <w:rFonts w:ascii="Calibri" w:eastAsia="Calibri" w:hAnsi="Calibri" w:cs="Times New Roman"/>
                <w:color w:val="auto"/>
                <w:sz w:val="18"/>
                <w:szCs w:val="18"/>
              </w:rPr>
              <w:t>Sanders</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7%</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NA</w:t>
            </w:r>
          </w:p>
        </w:tc>
        <w:tc>
          <w:tcPr>
            <w:tcW w:w="1541"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28.2%</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NA</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3.6</w:t>
            </w:r>
          </w:p>
        </w:tc>
        <w:tc>
          <w:tcPr>
            <w:tcW w:w="1542" w:type="dxa"/>
          </w:tcPr>
          <w:p w:rsidR="00022F24" w:rsidRPr="00022F24" w:rsidRDefault="00022F24" w:rsidP="00022F24">
            <w:pPr>
              <w:spacing w:line="240" w:lineRule="auto"/>
              <w:contextualSpacing w:val="0"/>
              <w:jc w:val="center"/>
              <w:rPr>
                <w:rFonts w:ascii="Calibri" w:eastAsia="Calibri" w:hAnsi="Calibri" w:cs="Times New Roman"/>
                <w:b/>
                <w:color w:val="auto"/>
                <w:sz w:val="18"/>
                <w:szCs w:val="18"/>
              </w:rPr>
            </w:pPr>
            <w:r w:rsidRPr="00022F24">
              <w:rPr>
                <w:rFonts w:ascii="Calibri" w:eastAsia="Calibri" w:hAnsi="Calibri" w:cs="Times New Roman"/>
                <w:b/>
                <w:color w:val="auto"/>
                <w:sz w:val="18"/>
                <w:szCs w:val="18"/>
              </w:rPr>
              <w:t>NA</w:t>
            </w:r>
          </w:p>
        </w:tc>
      </w:tr>
    </w:tbl>
    <w:p w:rsidR="00022F24" w:rsidRPr="00022F24" w:rsidRDefault="00022F24" w:rsidP="00022F24">
      <w:pPr>
        <w:spacing w:line="240" w:lineRule="auto"/>
        <w:contextualSpacing w:val="0"/>
        <w:rPr>
          <w:rFonts w:ascii="Calibri" w:eastAsia="Calibri" w:hAnsi="Calibri" w:cs="Times New Roman"/>
          <w:color w:val="auto"/>
          <w:sz w:val="16"/>
          <w:szCs w:val="16"/>
          <w:u w:val="single"/>
          <w:lang w:eastAsia="en-US"/>
        </w:rPr>
      </w:pPr>
    </w:p>
    <w:p w:rsidR="00022F24" w:rsidRPr="00022F24" w:rsidRDefault="00022F24" w:rsidP="00022F24">
      <w:pPr>
        <w:spacing w:line="240" w:lineRule="auto"/>
        <w:contextualSpacing w:val="0"/>
        <w:rPr>
          <w:rFonts w:ascii="Calibri" w:eastAsia="Calibri" w:hAnsi="Calibri" w:cs="Times New Roman"/>
          <w:color w:val="auto"/>
          <w:sz w:val="16"/>
          <w:szCs w:val="16"/>
          <w:lang w:eastAsia="en-US"/>
        </w:rPr>
      </w:pPr>
      <w:r w:rsidRPr="00022F24">
        <w:rPr>
          <w:rFonts w:ascii="Calibri" w:eastAsia="Calibri" w:hAnsi="Calibri" w:cs="Times New Roman"/>
          <w:color w:val="auto"/>
          <w:sz w:val="16"/>
          <w:szCs w:val="16"/>
          <w:u w:val="single"/>
          <w:lang w:eastAsia="en-US"/>
        </w:rPr>
        <w:t>Footnotes</w:t>
      </w:r>
      <w:r w:rsidRPr="00022F24">
        <w:rPr>
          <w:rFonts w:ascii="Calibri" w:eastAsia="Calibri" w:hAnsi="Calibri" w:cs="Times New Roman"/>
          <w:color w:val="auto"/>
          <w:sz w:val="16"/>
          <w:szCs w:val="16"/>
          <w:lang w:eastAsia="en-US"/>
        </w:rPr>
        <w:t>:   1. US Census Bureau, American Community Survey. 2. US Census Bureau, Decennial Census.  3. HUD User, FY 2016, July 2016 4. Community Commons</w:t>
      </w:r>
    </w:p>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r w:rsidRPr="00022F24">
        <w:rPr>
          <w:rFonts w:ascii="Calibri" w:eastAsia="Calibri" w:hAnsi="Calibri" w:cs="Times New Roman"/>
          <w:color w:val="auto"/>
          <w:sz w:val="22"/>
          <w:szCs w:val="22"/>
          <w:lang w:eastAsia="en-US"/>
        </w:rPr>
        <w:t>A recent report prepared by Headwaters Economics paints a disappointing picture for job growth in Montana’s most rural counties. Using some data from the U.S. Bureau of Economic Analysis they found that between 2000 and 2016 only 5 of our 56 counties captured nearly 75 percent of all new jobs. Those counties were Gallatin (with 25%), Yellowstone (18%), Missoula (13%), Flathead (13%) and Lewis and Clark (8%). Combined they added 84,505 new workers. In that same time period more than two dozen rural counties saw no new job growth and eight saw negative job growth.</w:t>
      </w:r>
    </w:p>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p>
    <w:p w:rsidR="00022F24" w:rsidRPr="00022F24" w:rsidRDefault="00022F24" w:rsidP="00022F24">
      <w:pPr>
        <w:spacing w:line="240" w:lineRule="auto"/>
        <w:contextualSpacing w:val="0"/>
        <w:jc w:val="both"/>
        <w:rPr>
          <w:rFonts w:ascii="Calibri" w:eastAsia="Calibri" w:hAnsi="Calibri" w:cs="Times New Roman"/>
          <w:color w:val="auto"/>
          <w:sz w:val="22"/>
          <w:szCs w:val="22"/>
          <w:lang w:eastAsia="en-US"/>
        </w:rPr>
      </w:pPr>
      <w:r w:rsidRPr="00022F24">
        <w:rPr>
          <w:rFonts w:ascii="Calibri" w:eastAsia="Calibri" w:hAnsi="Calibri" w:cs="Times New Roman"/>
          <w:color w:val="auto"/>
          <w:sz w:val="22"/>
          <w:szCs w:val="22"/>
          <w:lang w:eastAsia="en-US"/>
        </w:rPr>
        <w:t>Author Mark Haggerty said that “innovation jobs including software, research and development, finance and technology require access to finance, an educated labor force and global markets – comparative advantages largely found in larger cities.” Mr. Haggerty notes the positive findings for this period were that Montana’s economy did better than the U.S. overall. “From 2000 to 2015, personal income grew by 49 percent compared to 30 percent nationally, and Montana’s per capital income grew 30 percent compared to 14 percent for the United States. The growth in Montana is begin driven by an increase in higher-quality jobs and the rapid increase of investment and retirement income.””</w:t>
      </w:r>
    </w:p>
    <w:p w:rsidR="00022F24" w:rsidRDefault="00022F24" w:rsidP="00504873">
      <w:pPr>
        <w:tabs>
          <w:tab w:val="left" w:pos="4425"/>
        </w:tabs>
        <w:rPr>
          <w:rFonts w:ascii="Calibri" w:eastAsia="Calibri" w:hAnsi="Calibri" w:cs="Times New Roman"/>
          <w:szCs w:val="24"/>
          <w:lang w:eastAsia="en-US"/>
        </w:rPr>
      </w:pPr>
    </w:p>
    <w:p w:rsidR="00C61AFC" w:rsidRPr="00FF5CCC" w:rsidRDefault="00C61AFC" w:rsidP="00504873">
      <w:pPr>
        <w:tabs>
          <w:tab w:val="left" w:pos="4425"/>
        </w:tabs>
        <w:rPr>
          <w:rFonts w:ascii="Calibri" w:eastAsia="Calibri" w:hAnsi="Calibri" w:cs="Times New Roman"/>
          <w:szCs w:val="24"/>
          <w:lang w:eastAsia="en-US"/>
        </w:rPr>
      </w:pPr>
    </w:p>
    <w:p w:rsidR="00C61AFC" w:rsidRPr="00C61AFC" w:rsidRDefault="00C61AFC" w:rsidP="00C61AFC">
      <w:pPr>
        <w:spacing w:line="240" w:lineRule="auto"/>
        <w:contextualSpacing w:val="0"/>
        <w:rPr>
          <w:rFonts w:ascii="Arial Black" w:eastAsia="Calibri" w:hAnsi="Arial Black" w:cs="Times New Roman"/>
          <w:b/>
          <w:color w:val="auto"/>
          <w:szCs w:val="24"/>
          <w:u w:val="single"/>
          <w:lang w:eastAsia="en-US"/>
        </w:rPr>
      </w:pPr>
      <w:r w:rsidRPr="00C61AFC">
        <w:rPr>
          <w:rFonts w:ascii="Arial Black" w:eastAsia="Calibri" w:hAnsi="Arial Black" w:cs="Times New Roman"/>
          <w:b/>
          <w:color w:val="auto"/>
          <w:szCs w:val="24"/>
          <w:u w:val="single"/>
          <w:lang w:eastAsia="en-US"/>
        </w:rPr>
        <w:t>D. County by County Demographic and Socio-Graphic Trends</w:t>
      </w:r>
    </w:p>
    <w:p w:rsidR="00C61AFC" w:rsidRPr="00C61AFC" w:rsidRDefault="00C61AFC" w:rsidP="00C61AFC">
      <w:pPr>
        <w:spacing w:line="240" w:lineRule="auto"/>
        <w:contextualSpacing w:val="0"/>
        <w:rPr>
          <w:rFonts w:ascii="Calibri" w:eastAsia="Calibri" w:hAnsi="Calibri" w:cs="Times New Roman"/>
          <w:b/>
          <w:color w:val="auto"/>
          <w:szCs w:val="24"/>
          <w:u w:val="single"/>
          <w:lang w:eastAsia="en-US"/>
        </w:rPr>
      </w:pP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This final Section looks at changes in a select number of trends like population, housing and poverty. Here are some highlights:</w:t>
      </w:r>
    </w:p>
    <w:p w:rsidR="00C61AFC" w:rsidRPr="00C61AFC" w:rsidRDefault="00C61AFC" w:rsidP="00C61AFC">
      <w:pPr>
        <w:numPr>
          <w:ilvl w:val="0"/>
          <w:numId w:val="31"/>
        </w:numPr>
        <w:spacing w:after="160"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Population change between 2011 and 2016 was (Flathead at 7%, Lake at 10%, Lincoln at 7% and Sanders at %)</w:t>
      </w:r>
    </w:p>
    <w:p w:rsidR="00C61AFC" w:rsidRPr="00C61AFC" w:rsidRDefault="00C61AFC" w:rsidP="00C61AFC">
      <w:pPr>
        <w:numPr>
          <w:ilvl w:val="0"/>
          <w:numId w:val="31"/>
        </w:numPr>
        <w:spacing w:after="160"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Income change between 2012 and 2016 was (Flathead at 6%, Lake at 26%, Lincoln at 6% and Sanders at %) for median household and (Flathead at 7%, Lake at 34%, Lincoln at 7% and Sanders at %) for per capita</w:t>
      </w:r>
    </w:p>
    <w:p w:rsidR="00C61AFC" w:rsidRPr="00C61AFC" w:rsidRDefault="00C61AFC" w:rsidP="00C61AFC">
      <w:pPr>
        <w:numPr>
          <w:ilvl w:val="0"/>
          <w:numId w:val="31"/>
        </w:numPr>
        <w:spacing w:after="160"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Unemployment change between 2011 and 2016 was (Flathead decreased by 0.5%%, Lake decreased by 1.9%, Lincoln decreased by 0.5% and Sanders decreased by 1.2%)</w:t>
      </w:r>
    </w:p>
    <w:p w:rsidR="00C61AFC" w:rsidRPr="00C61AFC" w:rsidRDefault="00C61AFC" w:rsidP="00C61AFC">
      <w:pPr>
        <w:numPr>
          <w:ilvl w:val="0"/>
          <w:numId w:val="31"/>
        </w:numPr>
        <w:spacing w:after="160"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Vacant rental unit rates change between 2011 and 2016 was (Flathead increased by 0.2%, Lake increased by 1.2%, Lincoln increased by 0.2% and Sanders increased by 0.2%)</w:t>
      </w:r>
    </w:p>
    <w:p w:rsidR="00C61AFC" w:rsidRPr="00C61AFC" w:rsidRDefault="00C61AFC" w:rsidP="00C61AFC">
      <w:pPr>
        <w:numPr>
          <w:ilvl w:val="0"/>
          <w:numId w:val="31"/>
        </w:numPr>
        <w:spacing w:after="160"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Poverty change between 2012 and 2016 was (Flathead increased by 1.3%, Lake decreased by 1.8%, Lincoln increased by 2.6% and Sanders remained the same)</w:t>
      </w: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p w:rsidR="00C61AFC" w:rsidRPr="00C61AFC" w:rsidRDefault="00C61AFC" w:rsidP="00C61AFC">
      <w:pPr>
        <w:spacing w:line="240" w:lineRule="auto"/>
        <w:contextualSpacing w:val="0"/>
        <w:rPr>
          <w:rFonts w:ascii="Calibri" w:eastAsia="Calibri" w:hAnsi="Calibri" w:cs="Times New Roman"/>
          <w:b/>
          <w:color w:val="auto"/>
          <w:sz w:val="22"/>
          <w:szCs w:val="22"/>
          <w:lang w:eastAsia="en-US"/>
        </w:rPr>
      </w:pPr>
      <w:r w:rsidRPr="00C61AFC">
        <w:rPr>
          <w:rFonts w:ascii="Calibri" w:eastAsia="Calibri" w:hAnsi="Calibri" w:cs="Times New Roman"/>
          <w:b/>
          <w:color w:val="auto"/>
          <w:sz w:val="22"/>
          <w:szCs w:val="22"/>
          <w:lang w:eastAsia="en-US"/>
        </w:rPr>
        <w:t>FLATHEAD COUNTY.</w:t>
      </w: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Here are some highlights (in no particular priority):</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Income grew by 6 (median) and 7 percent (per capita) between 2011 and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Unemployment fluctuated between 4.6% in 2011 down to 4.1% in 2016 but initially grew to 5.6% in 2012</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Persons in poverty grew from 12.5% in 2012 to 13.8% in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The number of vacant housing units remained consistently high (over 20%) while vacancy rates for local folks looking for safe, decent and affordable housing remained well below national averages (up to 3.4% in 2016 from a low of 2.0% in 2011. National averages approach 4-6 percent).</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Consistent with what’s been reported elsewhere, the senior citizen in poverty population over 65 years grew by 36% (whereas the general population only grew by 14.6%).</w:t>
      </w:r>
    </w:p>
    <w:p w:rsidR="00C61AFC" w:rsidRPr="00C61AFC" w:rsidRDefault="00C61AFC" w:rsidP="00C61AFC">
      <w:pPr>
        <w:spacing w:line="240" w:lineRule="auto"/>
        <w:contextualSpacing w:val="0"/>
        <w:jc w:val="both"/>
        <w:rPr>
          <w:rFonts w:ascii="Calibri" w:eastAsia="Calibri" w:hAnsi="Calibri" w:cs="Times New Roman"/>
          <w:color w:val="auto"/>
          <w:sz w:val="20"/>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c>
          <w:tcPr>
            <w:tcW w:w="1541"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POPULATON (1)</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2016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2015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2014</w:t>
            </w:r>
          </w:p>
        </w:tc>
        <w:tc>
          <w:tcPr>
            <w:tcW w:w="1542"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2013</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2012</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2011</w:t>
            </w:r>
          </w:p>
        </w:tc>
      </w:tr>
      <w:tr w:rsidR="00C61AFC" w:rsidRPr="00C61AFC" w:rsidTr="004C765C">
        <w:trPr>
          <w:trHeight w:val="260"/>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2"/>
              </w:rPr>
            </w:pP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97,693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95,738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94.468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92,835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91,576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91,236</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Household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$47,851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$46,858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$46,581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$45,545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$45,588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Per Capita</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$27,083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$26,388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$25,789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$25,790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$25,616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$25,317</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EMPLOYMENT</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3,099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3,294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4,040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3,268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HOUSING</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Total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47,283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47,184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46,866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46,121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9,785/20.6%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10,177/21.5%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10,111/21.4%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9,965/21.3%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9,621/20.7%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9,424/20.4%</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homeowner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rental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1 or Fewer Bedrooms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plumbing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225/0.6%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170/0.5%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203/0.5%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237/0.6%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kitchen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213/0.6%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231/0.6%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308/0.8%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Housing units with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16,281/60.9%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16,110/61.2%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16,052/61.8%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16,683/63.7%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16,951/64.1%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16,724/63.7%</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housing costs without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Gross rent &lt;30% of household 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50.1%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48.7%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46.2%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53.3% of units</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Efficiency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rent- 1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$552</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2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$747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$644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$693</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POVERTY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All persons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12,875/13.8%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12,307/13.3%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12,490/13.7%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12,815/14.2%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11,230/12.5%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Under age 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Between 5 and 17 yrs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2,917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65 yrs and over</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3,222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3,255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Worked part-time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1,846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Did not work</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2,602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2,598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2,667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2,298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2697"/>
        <w:gridCol w:w="2697"/>
        <w:gridCol w:w="2698"/>
        <w:gridCol w:w="2698"/>
      </w:tblGrid>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 xml:space="preserve">LIVING WAGE CALCULATION </w:t>
            </w:r>
            <w:r w:rsidRPr="00C61AFC">
              <w:rPr>
                <w:rFonts w:ascii="Calibri" w:eastAsia="Calibri" w:hAnsi="Calibri" w:cs="Times New Roman"/>
                <w:color w:val="auto"/>
                <w:sz w:val="18"/>
                <w:szCs w:val="18"/>
              </w:rPr>
              <w:t>(4)</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 Adult/1 Child</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 2 kids</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Wages/Living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$23.85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$18.16</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$24.90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Wages/Poverty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$11.00</w:t>
            </w: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Annual Expenses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Food</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$5,245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$10,487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Child Care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$7,157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Medical</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$7,587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$5,593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$7,364</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Housing</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$8,964</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$7,032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$8,964</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Transportation</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$10,051</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Other</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$6,395</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After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$41,461</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$31,667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$43,261</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Before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$49,615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$37,765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$51,786</w:t>
            </w:r>
          </w:p>
        </w:tc>
      </w:tr>
    </w:tbl>
    <w:p w:rsidR="00712980" w:rsidRPr="00C61AFC" w:rsidRDefault="00712980" w:rsidP="00C61AFC">
      <w:pPr>
        <w:spacing w:after="160" w:line="259" w:lineRule="auto"/>
        <w:contextualSpacing w:val="0"/>
        <w:rPr>
          <w:rFonts w:ascii="Calibri" w:eastAsia="Calibri" w:hAnsi="Calibri" w:cs="Times New Roman"/>
          <w:b/>
          <w:color w:val="auto"/>
          <w:szCs w:val="24"/>
          <w:u w:val="single"/>
          <w:lang w:eastAsia="en-US"/>
        </w:rPr>
      </w:pPr>
    </w:p>
    <w:p w:rsidR="00C61AFC" w:rsidRPr="00C61AFC" w:rsidRDefault="00C61AFC" w:rsidP="00C61AFC">
      <w:pPr>
        <w:spacing w:after="160" w:line="259" w:lineRule="auto"/>
        <w:contextualSpacing w:val="0"/>
        <w:rPr>
          <w:rFonts w:ascii="Calibri" w:eastAsia="Calibri" w:hAnsi="Calibri" w:cs="Times New Roman"/>
          <w:b/>
          <w:color w:val="auto"/>
          <w:sz w:val="22"/>
          <w:szCs w:val="22"/>
          <w:lang w:eastAsia="en-US"/>
        </w:rPr>
      </w:pPr>
      <w:r w:rsidRPr="00C61AFC">
        <w:rPr>
          <w:rFonts w:ascii="Calibri" w:eastAsia="Calibri" w:hAnsi="Calibri" w:cs="Times New Roman"/>
          <w:b/>
          <w:color w:val="auto"/>
          <w:sz w:val="22"/>
          <w:szCs w:val="22"/>
          <w:lang w:eastAsia="en-US"/>
        </w:rPr>
        <w:t>LAKE COUNTY.</w:t>
      </w: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Here are some highlights (in no particular priority):</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Income grew by 26.5 (median) and 34.3 percent (per capita) between 2011 and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Unemployment fluctuated between 8.8% in 2013 down to today’s low of 5.0%.</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Persons in poverty dropped from 23.2% in 2012 to 21.4% in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The number of vacant housing units remained consistently high (nearly 30%) while vacancy rates for local folks looking for safe, decent and affordable housing remained well below national averages (up to 3.3% in 2012/13 to a today’s low of 2.5%. National averages approach 4-6 percent). Total U.S. vacancy housing units is typically under 12% which includes those for rent/sale (occupied or not) as well as seasonal and recreational properties.</w:t>
      </w:r>
    </w:p>
    <w:p w:rsid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Consistent with what’s been reported elsewhere, the senior citizen in poverty population over 65 years grew by 20.4% (whereas the general population only grew by 10.1%).</w:t>
      </w:r>
    </w:p>
    <w:p w:rsidR="00712980" w:rsidRDefault="00712980" w:rsidP="00712980">
      <w:pPr>
        <w:spacing w:after="160" w:line="240" w:lineRule="auto"/>
        <w:contextualSpacing w:val="0"/>
        <w:jc w:val="both"/>
        <w:rPr>
          <w:rFonts w:ascii="Calibri" w:eastAsia="Calibri" w:hAnsi="Calibri" w:cs="Times New Roman"/>
          <w:color w:val="auto"/>
          <w:sz w:val="20"/>
          <w:lang w:eastAsia="en-US"/>
        </w:rPr>
      </w:pPr>
    </w:p>
    <w:p w:rsidR="00712980" w:rsidRDefault="00712980" w:rsidP="00712980">
      <w:pPr>
        <w:spacing w:after="160" w:line="240" w:lineRule="auto"/>
        <w:contextualSpacing w:val="0"/>
        <w:jc w:val="both"/>
        <w:rPr>
          <w:rFonts w:ascii="Calibri" w:eastAsia="Calibri" w:hAnsi="Calibri" w:cs="Times New Roman"/>
          <w:color w:val="auto"/>
          <w:sz w:val="20"/>
          <w:lang w:eastAsia="en-US"/>
        </w:rPr>
      </w:pPr>
    </w:p>
    <w:p w:rsidR="00712980" w:rsidRDefault="00712980" w:rsidP="00712980">
      <w:pPr>
        <w:spacing w:after="160" w:line="240" w:lineRule="auto"/>
        <w:contextualSpacing w:val="0"/>
        <w:jc w:val="both"/>
        <w:rPr>
          <w:rFonts w:ascii="Calibri" w:eastAsia="Calibri" w:hAnsi="Calibri" w:cs="Times New Roman"/>
          <w:color w:val="auto"/>
          <w:sz w:val="20"/>
          <w:lang w:eastAsia="en-US"/>
        </w:rPr>
      </w:pPr>
    </w:p>
    <w:p w:rsidR="00712980" w:rsidRPr="00C61AFC" w:rsidRDefault="00712980" w:rsidP="00712980">
      <w:pPr>
        <w:spacing w:after="160" w:line="240" w:lineRule="auto"/>
        <w:contextualSpacing w:val="0"/>
        <w:jc w:val="both"/>
        <w:rPr>
          <w:rFonts w:ascii="Calibri" w:eastAsia="Calibri" w:hAnsi="Calibri" w:cs="Times New Roman"/>
          <w:color w:val="auto"/>
          <w:sz w:val="20"/>
          <w:lang w:eastAsia="en-US"/>
        </w:rPr>
      </w:pPr>
    </w:p>
    <w:p w:rsidR="00C61AFC" w:rsidRPr="00C61AFC" w:rsidRDefault="00C61AFC" w:rsidP="00C61AFC">
      <w:pPr>
        <w:spacing w:line="240" w:lineRule="auto"/>
        <w:contextualSpacing w:val="0"/>
        <w:jc w:val="both"/>
        <w:rPr>
          <w:rFonts w:ascii="Calibri" w:eastAsia="Calibri" w:hAnsi="Calibri" w:cs="Times New Roman"/>
          <w:color w:val="FF0000"/>
          <w:sz w:val="20"/>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c>
          <w:tcPr>
            <w:tcW w:w="1541"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POPULATON (1)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rPr>
          <w:trHeight w:val="260"/>
        </w:trPr>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Total Pop</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29,311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29,157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28,897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28,905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28,794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26,628</w:t>
            </w:r>
          </w:p>
        </w:tc>
      </w:tr>
      <w:tr w:rsidR="00C61AFC" w:rsidRPr="00C61AFC" w:rsidTr="004C765C">
        <w:trPr>
          <w:trHeight w:val="260"/>
        </w:trPr>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Median 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41.7</w:t>
            </w:r>
          </w:p>
        </w:tc>
      </w:tr>
      <w:tr w:rsidR="00C61AFC" w:rsidRPr="00C61AFC" w:rsidTr="004C765C">
        <w:trPr>
          <w:trHeight w:val="260"/>
        </w:trPr>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Under 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5,947/20.3%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5,977/20.5%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5,930/20.5%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5,939/20.6%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5,969/20.7%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5,948/20.7%</w:t>
            </w:r>
          </w:p>
        </w:tc>
      </w:tr>
      <w:tr w:rsidR="00C61AFC" w:rsidRPr="00C61AFC" w:rsidTr="004C765C">
        <w:trPr>
          <w:trHeight w:val="260"/>
        </w:trPr>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Over 65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5,733/19.6%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5,525/18.9%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5,308/18.3%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5,103/17.6%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4,927/17.1%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4,761/16.6%</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Household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$38,732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$38,492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$38,019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$37,211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$38,268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Per Capita</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$27,083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$22,278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$21,927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$21,521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$20,602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$20,161</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77"/>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EMPLOYMENT</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FF0000"/>
                <w:sz w:val="18"/>
                <w:szCs w:val="18"/>
              </w:rPr>
            </w:pPr>
            <w:r w:rsidRPr="00C61AFC">
              <w:rPr>
                <w:rFonts w:ascii="Calibri" w:eastAsia="Calibri" w:hAnsi="Calibri" w:cs="Times New Roman"/>
                <w:b/>
                <w:color w:val="auto"/>
                <w:sz w:val="18"/>
                <w:szCs w:val="18"/>
              </w:rPr>
              <w:t>1,145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FF0000"/>
                <w:sz w:val="18"/>
                <w:szCs w:val="18"/>
              </w:rPr>
            </w:pPr>
            <w:r w:rsidRPr="00C61AFC">
              <w:rPr>
                <w:rFonts w:ascii="Calibri" w:eastAsia="Calibri" w:hAnsi="Calibri" w:cs="Times New Roman"/>
                <w:b/>
                <w:color w:val="auto"/>
                <w:sz w:val="18"/>
                <w:szCs w:val="18"/>
              </w:rPr>
              <w:t>1,302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FF0000"/>
                <w:sz w:val="18"/>
                <w:szCs w:val="18"/>
              </w:rPr>
            </w:pPr>
            <w:r w:rsidRPr="00C61AFC">
              <w:rPr>
                <w:rFonts w:ascii="Calibri" w:eastAsia="Calibri" w:hAnsi="Calibri" w:cs="Times New Roman"/>
                <w:b/>
                <w:color w:val="auto"/>
                <w:sz w:val="18"/>
                <w:szCs w:val="18"/>
              </w:rPr>
              <w:t>1,461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1,983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1,702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1,541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HOUSING</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Total housing units</w:t>
            </w:r>
          </w:p>
        </w:tc>
        <w:tc>
          <w:tcPr>
            <w:tcW w:w="1541" w:type="dxa"/>
          </w:tcPr>
          <w:p w:rsidR="00C61AFC" w:rsidRPr="00C61AFC" w:rsidRDefault="00C61AFC" w:rsidP="00C61AFC">
            <w:pPr>
              <w:tabs>
                <w:tab w:val="left" w:pos="1125"/>
              </w:tabs>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16,585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16,613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16,589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16,544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16,484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16,366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4,633/27.9%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4,635/27.9%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4,673/28.2%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4,715/28.5%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4,461/27.1%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4,349/26.6%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homeowner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rental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1 or Fewer Bedrooms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14.4%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15.2%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14.1%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plumbing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49/0.4%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45/0.4%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93/0.8%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111/0.9%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118/1.0%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kitchen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73/0.6%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110/0.9%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92/0.8%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83/0.7%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95/0.8%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121/1.0%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Housing units with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4,466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4,397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4,492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4,407</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housing costs without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$357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$335</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Gross rent &lt;30% of household 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60.5%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57.6%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55.6%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54%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57.5% of units</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Efficiency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rent- 1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$602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2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$675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$675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$644</w:t>
            </w: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68"/>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POVERTY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All persons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6,206/21.4%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6,509/22.6%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6,449/22.6%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6,366/22.4%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6,578/23.2%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Under age 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Between 5 and 17 yrs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1,476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1,441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1,441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65 yrs and over</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621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4,346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4,386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4,384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4,479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Worked part-time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1,676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1,766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1.786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1,897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Did not work</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2,292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2,241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2.404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2,139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2,165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bl>
    <w:p w:rsidR="00C61AFC" w:rsidRPr="00C61AFC" w:rsidRDefault="00C61AFC" w:rsidP="00C61AFC">
      <w:pPr>
        <w:spacing w:after="160" w:line="259" w:lineRule="auto"/>
        <w:contextualSpacing w:val="0"/>
        <w:rPr>
          <w:rFonts w:ascii="Calibri" w:eastAsia="Calibri" w:hAnsi="Calibri" w:cs="Times New Roman"/>
          <w:b/>
          <w:color w:val="FF0000"/>
          <w:sz w:val="22"/>
          <w:szCs w:val="22"/>
          <w:lang w:eastAsia="en-US"/>
        </w:rPr>
      </w:pPr>
    </w:p>
    <w:tbl>
      <w:tblPr>
        <w:tblStyle w:val="TableGrid5"/>
        <w:tblW w:w="0" w:type="auto"/>
        <w:tblLook w:val="04A0" w:firstRow="1" w:lastRow="0" w:firstColumn="1" w:lastColumn="0" w:noHBand="0" w:noVBand="1"/>
      </w:tblPr>
      <w:tblGrid>
        <w:gridCol w:w="2697"/>
        <w:gridCol w:w="2697"/>
        <w:gridCol w:w="2698"/>
        <w:gridCol w:w="2698"/>
      </w:tblGrid>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 xml:space="preserve">LIVING WAGE CALCULATION </w:t>
            </w:r>
            <w:r w:rsidRPr="00C61AFC">
              <w:rPr>
                <w:rFonts w:ascii="Calibri" w:eastAsia="Calibri" w:hAnsi="Calibri" w:cs="Times New Roman"/>
                <w:color w:val="auto"/>
                <w:sz w:val="18"/>
                <w:szCs w:val="18"/>
              </w:rPr>
              <w:t>(4)</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 Adult/1 Child</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 2 kids</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Wages/Living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$23.51</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$8,124</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$24.56</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Wages/Poverty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$11.00</w:t>
            </w: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Annual Expenses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Food</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$5,245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$10,487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Child Care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$7,157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Medical</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$7,587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$5,593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$7,364</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Housing</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$8,340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$7,224</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$8,340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Transportation</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$10,051</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Other</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$6,395</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After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$40,837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$31,859</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$42,637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Before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$48,904</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$37,984</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$51,074</w:t>
            </w:r>
          </w:p>
        </w:tc>
      </w:tr>
    </w:tbl>
    <w:p w:rsidR="00C61AFC" w:rsidRPr="00C61AFC" w:rsidRDefault="00C61AFC" w:rsidP="00C61AFC">
      <w:pPr>
        <w:spacing w:after="160" w:line="259" w:lineRule="auto"/>
        <w:contextualSpacing w:val="0"/>
        <w:rPr>
          <w:rFonts w:ascii="Calibri" w:eastAsia="Calibri" w:hAnsi="Calibri" w:cs="Times New Roman"/>
          <w:b/>
          <w:color w:val="auto"/>
          <w:szCs w:val="24"/>
          <w:u w:val="single"/>
          <w:lang w:eastAsia="en-US"/>
        </w:rPr>
      </w:pPr>
    </w:p>
    <w:p w:rsidR="00C61AFC" w:rsidRPr="00C61AFC" w:rsidRDefault="00C61AFC" w:rsidP="00C61AFC">
      <w:pPr>
        <w:spacing w:after="160" w:line="259" w:lineRule="auto"/>
        <w:contextualSpacing w:val="0"/>
        <w:rPr>
          <w:rFonts w:ascii="Calibri" w:eastAsia="Calibri" w:hAnsi="Calibri" w:cs="Times New Roman"/>
          <w:b/>
          <w:color w:val="auto"/>
          <w:sz w:val="22"/>
          <w:szCs w:val="22"/>
          <w:lang w:eastAsia="en-US"/>
        </w:rPr>
      </w:pPr>
      <w:r w:rsidRPr="00C61AFC">
        <w:rPr>
          <w:rFonts w:ascii="Calibri" w:eastAsia="Calibri" w:hAnsi="Calibri" w:cs="Times New Roman"/>
          <w:b/>
          <w:color w:val="auto"/>
          <w:sz w:val="22"/>
          <w:szCs w:val="22"/>
          <w:lang w:eastAsia="en-US"/>
        </w:rPr>
        <w:t>LINCOLN COUNTY.</w:t>
      </w: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Here are some highlights (in no particular priority):</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Income grew by .06 (median) and 7 percent (per capita) between 2011 and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Unemployment fluctuated between 5.6% in 2012 down to today’s low of 4.1%.</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Persons in poverty dropped from 20.5% in 2012 to 17.9% in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The number of vacant housing units remained consistently high (over 20%) while vacancy rates for local folks looking for safe, decent and affordable housing remained well below national averages (up to 3.2% in 2017 from a low of 2.0% in 2011 while national averages approach 4-6 percent). Total U.S. vacancy housing units is typically under 12% which includes those for rent/sale (occupied or not) as well as seasonal and recreational properties.</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Consistent with what’s been reported elsewhere, the senior citizen in poverty population over 65 years grew by 21.7% (whereas the general population only grew by 7%).</w:t>
      </w:r>
    </w:p>
    <w:p w:rsidR="00C61AFC" w:rsidRPr="00C61AFC" w:rsidRDefault="00C61AFC" w:rsidP="00C61AFC">
      <w:pPr>
        <w:spacing w:line="240" w:lineRule="auto"/>
        <w:contextualSpacing w:val="0"/>
        <w:jc w:val="both"/>
        <w:rPr>
          <w:rFonts w:ascii="Calibri" w:eastAsia="Calibri" w:hAnsi="Calibri" w:cs="Times New Roman"/>
          <w:color w:val="FF0000"/>
          <w:sz w:val="20"/>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c>
          <w:tcPr>
            <w:tcW w:w="1541"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POPULATON (1)</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2016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2015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2014</w:t>
            </w:r>
          </w:p>
        </w:tc>
        <w:tc>
          <w:tcPr>
            <w:tcW w:w="1542"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2013</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2012</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2011</w:t>
            </w:r>
          </w:p>
        </w:tc>
      </w:tr>
      <w:tr w:rsidR="00C61AFC" w:rsidRPr="00C61AFC" w:rsidTr="004C765C">
        <w:trPr>
          <w:trHeight w:val="260"/>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2"/>
              </w:rPr>
            </w:pP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97,693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95,738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94.468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92,835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91,576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91,236</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Household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$47,851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$46,858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$46,581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$45,545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$45,588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Per Capita</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$27,083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$26,388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$25,789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$25,790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$25,616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$25,317</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EMPLOYMENT</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3,099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3,294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4,040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3,268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HOUSING</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Total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47,283</w:t>
            </w:r>
          </w:p>
        </w:tc>
        <w:tc>
          <w:tcPr>
            <w:tcW w:w="1541" w:type="dxa"/>
          </w:tcPr>
          <w:p w:rsidR="00C61AFC" w:rsidRPr="00C61AFC" w:rsidRDefault="00C61AFC" w:rsidP="00C61AFC">
            <w:pPr>
              <w:spacing w:line="240" w:lineRule="auto"/>
              <w:contextualSpacing w:val="0"/>
              <w:jc w:val="center"/>
              <w:rPr>
                <w:rFonts w:ascii="Calibri" w:eastAsia="Calibri" w:hAnsi="Calibri" w:cs="Times New Roman"/>
                <w:color w:val="auto"/>
                <w:sz w:val="18"/>
                <w:szCs w:val="18"/>
              </w:rPr>
            </w:pPr>
            <w:r w:rsidRPr="00C61AFC">
              <w:rPr>
                <w:rFonts w:ascii="Calibri" w:eastAsia="Calibri" w:hAnsi="Calibri" w:cs="Times New Roman"/>
                <w:color w:val="auto"/>
                <w:sz w:val="18"/>
                <w:szCs w:val="18"/>
              </w:rPr>
              <w:t>47,184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46,866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46,121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9,785/20.6%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10,177/21.5%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10,111/21.4%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9,965/21.3%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9,621/20.7%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9,424/20.4%</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homeowner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rental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1 or Fewer Bedrooms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plumbing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225/0.6%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170/0.5%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203/0.5%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237/0.6%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kitchen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213/0.6%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231/0.6%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308/0.8%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Housing units with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16,281/60.9%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16,110/61.2%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16,052/61.8%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16,683/63.7%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16,951/64.1%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16,724/63.7%</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housing costs without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Gross rent &lt;30% of household 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50.1%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48.7%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46.2%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53.3% of units</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Efficiency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rent- 1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2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$747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$660</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POVERTY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All persons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3,410/17.9%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3,554/18.6%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3,282/17.1%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3,463/17.9%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3,956/20.5%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Under age 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Between 5 and 17 yrs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2,917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65 yrs and over</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3,222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3,255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Worked part-time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1,846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Did not work</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2,602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2,598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2,667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2,298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2697"/>
        <w:gridCol w:w="2697"/>
        <w:gridCol w:w="2698"/>
        <w:gridCol w:w="2698"/>
      </w:tblGrid>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 xml:space="preserve">LIVING WAGE CALCULATION </w:t>
            </w:r>
            <w:r w:rsidRPr="00C61AFC">
              <w:rPr>
                <w:rFonts w:ascii="Calibri" w:eastAsia="Calibri" w:hAnsi="Calibri" w:cs="Times New Roman"/>
                <w:color w:val="auto"/>
                <w:sz w:val="18"/>
                <w:szCs w:val="18"/>
              </w:rPr>
              <w:t>(4)</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 Adult/1 Child</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 2 kids</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Wages/Living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$23.42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$18.02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Hourly Wages/Poverty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$11.00</w:t>
            </w: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Annual Expenses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Food</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$5,245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$8,10,487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Child Care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$7,157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Medical</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$7,587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$5,593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$7,364</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Housing</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$8,172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$6,780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$8,172</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Transportation</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$10,051</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Other</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$6,395</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After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$40,669</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$31,415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$42,469</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color w:val="auto"/>
                <w:sz w:val="18"/>
                <w:szCs w:val="18"/>
              </w:rPr>
            </w:pPr>
            <w:r w:rsidRPr="00C61AFC">
              <w:rPr>
                <w:rFonts w:ascii="Calibri" w:eastAsia="Calibri" w:hAnsi="Calibri" w:cs="Times New Roman"/>
                <w:color w:val="auto"/>
                <w:sz w:val="18"/>
                <w:szCs w:val="18"/>
              </w:rPr>
              <w:t>Required Annual Income Before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$48,713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$37,478</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$50,883</w:t>
            </w:r>
          </w:p>
        </w:tc>
      </w:tr>
    </w:tbl>
    <w:p w:rsidR="00C61AFC" w:rsidRPr="00C61AFC" w:rsidRDefault="00C61AFC" w:rsidP="00C61AFC">
      <w:pPr>
        <w:spacing w:after="160" w:line="259" w:lineRule="auto"/>
        <w:contextualSpacing w:val="0"/>
        <w:rPr>
          <w:rFonts w:ascii="Calibri" w:eastAsia="Calibri" w:hAnsi="Calibri" w:cs="Times New Roman"/>
          <w:b/>
          <w:color w:val="FF0000"/>
          <w:sz w:val="22"/>
          <w:szCs w:val="22"/>
          <w:lang w:eastAsia="en-US"/>
        </w:rPr>
      </w:pPr>
    </w:p>
    <w:p w:rsidR="00C61AFC" w:rsidRPr="00C61AFC" w:rsidRDefault="00C61AFC" w:rsidP="00C61AFC">
      <w:pPr>
        <w:spacing w:after="160" w:line="259" w:lineRule="auto"/>
        <w:contextualSpacing w:val="0"/>
        <w:rPr>
          <w:rFonts w:ascii="Calibri" w:eastAsia="Calibri" w:hAnsi="Calibri" w:cs="Times New Roman"/>
          <w:b/>
          <w:color w:val="auto"/>
          <w:sz w:val="22"/>
          <w:szCs w:val="22"/>
          <w:u w:val="single"/>
          <w:lang w:eastAsia="en-US"/>
        </w:rPr>
      </w:pPr>
      <w:r w:rsidRPr="00C61AFC">
        <w:rPr>
          <w:rFonts w:ascii="Calibri" w:eastAsia="Calibri" w:hAnsi="Calibri" w:cs="Times New Roman"/>
          <w:b/>
          <w:color w:val="auto"/>
          <w:sz w:val="22"/>
          <w:szCs w:val="22"/>
          <w:u w:val="single"/>
          <w:lang w:eastAsia="en-US"/>
        </w:rPr>
        <w:t>SANDERS COUNTY.</w:t>
      </w:r>
    </w:p>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Here are some highlights (in no particular priority):</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Income grew by 6 (median) and 7 percent (per capita) between 2011 and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Unemployment fluctuated between 5.6% in 2015 down to today’s low of 4.1%.</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Persons in poverty remained unchanged between 2012 and 2016</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The number of vacant housing units remained consistently high (over 20%) while vacancy rates for local folks looking for safe, decent and affordable housing remained well below national averages (up to 3.4% in 2015 to a low of only 2.0% in 2011. National averages approach 4-6 percent). Total U.S. vacancy housing units is typically under 12% which includes those for rent/sale (occupied or not) as well as seasonal and recreational properties.</w:t>
      </w:r>
    </w:p>
    <w:p w:rsidR="00C61AFC" w:rsidRPr="00C61AFC" w:rsidRDefault="00C61AFC" w:rsidP="00C61AFC">
      <w:pPr>
        <w:numPr>
          <w:ilvl w:val="0"/>
          <w:numId w:val="29"/>
        </w:numPr>
        <w:spacing w:after="160" w:line="240" w:lineRule="auto"/>
        <w:contextualSpacing w:val="0"/>
        <w:jc w:val="both"/>
        <w:rPr>
          <w:rFonts w:ascii="Calibri" w:eastAsia="Calibri" w:hAnsi="Calibri" w:cs="Times New Roman"/>
          <w:color w:val="auto"/>
          <w:sz w:val="20"/>
          <w:lang w:eastAsia="en-US"/>
        </w:rPr>
      </w:pPr>
      <w:r w:rsidRPr="00C61AFC">
        <w:rPr>
          <w:rFonts w:ascii="Calibri" w:eastAsia="Calibri" w:hAnsi="Calibri" w:cs="Times New Roman"/>
          <w:color w:val="auto"/>
          <w:sz w:val="20"/>
          <w:lang w:eastAsia="en-US"/>
        </w:rPr>
        <w:t>Consistent with what’s been reported elsewhere, the senior citizen in poverty population over 65 years grew by 23.2% (whereas the general population only grew by 7%).</w:t>
      </w:r>
    </w:p>
    <w:p w:rsidR="00C61AFC" w:rsidRPr="00C61AFC" w:rsidRDefault="00C61AFC" w:rsidP="00C61AFC">
      <w:pPr>
        <w:spacing w:line="240" w:lineRule="auto"/>
        <w:contextualSpacing w:val="0"/>
        <w:jc w:val="both"/>
        <w:rPr>
          <w:rFonts w:ascii="Calibri" w:eastAsia="Calibri" w:hAnsi="Calibri" w:cs="Times New Roman"/>
          <w:color w:val="FF0000"/>
          <w:sz w:val="20"/>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05"/>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POPULATON (1)</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2016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 xml:space="preserve">Total Pop 2015 </w:t>
            </w:r>
          </w:p>
        </w:tc>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2014</w:t>
            </w:r>
          </w:p>
        </w:tc>
        <w:tc>
          <w:tcPr>
            <w:tcW w:w="1542"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Total Pop 2013</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2012</w:t>
            </w:r>
          </w:p>
        </w:tc>
        <w:tc>
          <w:tcPr>
            <w:tcW w:w="1542" w:type="dxa"/>
          </w:tcPr>
          <w:p w:rsidR="00C61AFC" w:rsidRPr="00C61AFC" w:rsidRDefault="00C61AFC" w:rsidP="00C61AFC">
            <w:pPr>
              <w:spacing w:line="240" w:lineRule="auto"/>
              <w:contextualSpacing w:val="0"/>
              <w:jc w:val="both"/>
              <w:rPr>
                <w:rFonts w:ascii="Calibri" w:eastAsia="Calibri" w:hAnsi="Calibri" w:cs="Times New Roman"/>
                <w:b/>
                <w:color w:val="auto"/>
                <w:sz w:val="20"/>
              </w:rPr>
            </w:pPr>
            <w:r w:rsidRPr="00C61AFC">
              <w:rPr>
                <w:rFonts w:ascii="Calibri" w:eastAsia="Calibri" w:hAnsi="Calibri" w:cs="Times New Roman"/>
                <w:b/>
                <w:color w:val="auto"/>
                <w:sz w:val="20"/>
              </w:rPr>
              <w:t>Total Pop 2011</w:t>
            </w:r>
          </w:p>
        </w:tc>
      </w:tr>
      <w:tr w:rsidR="00C61AFC" w:rsidRPr="00C61AFC" w:rsidTr="004C765C">
        <w:trPr>
          <w:trHeight w:val="260"/>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2"/>
              </w:rPr>
            </w:pP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97,693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95,738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94.468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92,835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91,576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91,236</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Household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$47,851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$46,858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$46,581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$45,545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$45,588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Per Capita</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$27,083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$26,388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$25,789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$25,790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$25,616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$25,317</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color w:val="auto"/>
                <w:sz w:val="20"/>
              </w:rPr>
            </w:pPr>
            <w:r w:rsidRPr="00C61AFC">
              <w:rPr>
                <w:rFonts w:ascii="Calibri" w:eastAsia="Calibri" w:hAnsi="Calibri" w:cs="Times New Roman"/>
                <w:color w:val="auto"/>
                <w:sz w:val="20"/>
              </w:rPr>
              <w:t>EMPLOYMENT</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rPr>
          <w:trHeight w:val="70"/>
        </w:trPr>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418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540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 Unemployed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5.6%</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color w:val="auto"/>
                <w:sz w:val="20"/>
              </w:rPr>
            </w:pPr>
            <w:r w:rsidRPr="00C61AFC">
              <w:rPr>
                <w:rFonts w:ascii="Calibri" w:eastAsia="Calibri" w:hAnsi="Calibri" w:cs="Times New Roman"/>
                <w:color w:val="auto"/>
                <w:sz w:val="20"/>
              </w:rPr>
              <w:t>HOUSING</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Total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47,407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47,283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47,184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46,866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46,537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46,121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housing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9,785/20.6%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10,177/21.5%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10,111/21.4%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9,965/21.3%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9,621/20.7%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9,424/20.4%</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homeowner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Vacant rental rate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6.9%</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1 or Fewer Bedrooms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13.6%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12.4%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plumbing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225/0.6%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170/0.5%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171/0.5%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203/0.5%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237/0.6%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Lacking complete kitchen facilities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213/0.6%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169/0.5%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231/0.6%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2.85/0.8%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308/0.8%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Housing units with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16,281/60.9%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16,110/61.2%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16,052/61.8%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16,683/63.7%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16,951/64.1%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16,724/63.7%</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Median housing costs without a mortgage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$387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$396</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Gross rent &lt;30% of household income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50.1% of units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48.7%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47.4%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46.2% of units</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53.3% of units</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Efficiency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$490</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$430</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rent- 1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$589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$528</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Fair market rent – 2 bedroom</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$747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$827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$574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$660</w:t>
            </w:r>
          </w:p>
        </w:tc>
      </w:tr>
    </w:tbl>
    <w:p w:rsidR="00C61AFC" w:rsidRPr="00C61AFC" w:rsidRDefault="00C61AFC" w:rsidP="00C61AFC">
      <w:pPr>
        <w:spacing w:line="240" w:lineRule="auto"/>
        <w:contextualSpacing w:val="0"/>
        <w:jc w:val="both"/>
        <w:rPr>
          <w:rFonts w:ascii="Calibri" w:eastAsia="Calibri" w:hAnsi="Calibri" w:cs="Times New Roman"/>
          <w:color w:val="auto"/>
          <w:sz w:val="22"/>
          <w:szCs w:val="22"/>
          <w:lang w:eastAsia="en-US"/>
        </w:rPr>
      </w:pPr>
    </w:p>
    <w:tbl>
      <w:tblPr>
        <w:tblStyle w:val="TableGrid5"/>
        <w:tblW w:w="0" w:type="auto"/>
        <w:tblLook w:val="04A0" w:firstRow="1" w:lastRow="0" w:firstColumn="1" w:lastColumn="0" w:noHBand="0" w:noVBand="1"/>
      </w:tblPr>
      <w:tblGrid>
        <w:gridCol w:w="1541"/>
        <w:gridCol w:w="1541"/>
        <w:gridCol w:w="1541"/>
        <w:gridCol w:w="1541"/>
        <w:gridCol w:w="1542"/>
        <w:gridCol w:w="1542"/>
        <w:gridCol w:w="1542"/>
      </w:tblGrid>
      <w:tr w:rsidR="00C61AFC" w:rsidRPr="00C61AFC" w:rsidTr="004C765C">
        <w:trPr>
          <w:trHeight w:val="323"/>
        </w:trPr>
        <w:tc>
          <w:tcPr>
            <w:tcW w:w="1541" w:type="dxa"/>
          </w:tcPr>
          <w:p w:rsidR="00C61AFC" w:rsidRPr="00C61AFC" w:rsidRDefault="00C61AFC" w:rsidP="00C61AFC">
            <w:pPr>
              <w:spacing w:line="240" w:lineRule="auto"/>
              <w:contextualSpacing w:val="0"/>
              <w:rPr>
                <w:rFonts w:ascii="Calibri" w:eastAsia="Calibri" w:hAnsi="Calibri" w:cs="Times New Roman"/>
                <w:b/>
                <w:color w:val="auto"/>
                <w:sz w:val="20"/>
              </w:rPr>
            </w:pPr>
            <w:r w:rsidRPr="00C61AFC">
              <w:rPr>
                <w:rFonts w:ascii="Calibri" w:eastAsia="Calibri" w:hAnsi="Calibri" w:cs="Times New Roman"/>
                <w:b/>
                <w:color w:val="auto"/>
                <w:sz w:val="20"/>
              </w:rPr>
              <w:t>POVERTY</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2016</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2012</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20"/>
              </w:rPr>
            </w:pPr>
            <w:r w:rsidRPr="00C61AFC">
              <w:rPr>
                <w:rFonts w:ascii="Calibri" w:eastAsia="Calibri" w:hAnsi="Calibri" w:cs="Times New Roman"/>
                <w:b/>
                <w:color w:val="auto"/>
                <w:sz w:val="20"/>
              </w:rPr>
              <w:t>2011</w:t>
            </w: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All persons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2,493/22.3%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2,497/22.4%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2,562/22.9%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2,465/22.0%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2,618/22.3%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Under age 5</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903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Between 5 and 17 yrs</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2,917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2,837</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NA</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65 yrs and over</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1,188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1.134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960</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871</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Employed</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3,222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3,044</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3,105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3,255</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2,857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Worked part-time</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2,193</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1,979</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1,864</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1,846</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1,659</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1541" w:type="dxa"/>
          </w:tcPr>
          <w:p w:rsidR="00C61AFC" w:rsidRPr="00C61AFC" w:rsidRDefault="00C61AFC" w:rsidP="00C61AFC">
            <w:pPr>
              <w:spacing w:line="240" w:lineRule="auto"/>
              <w:contextualSpacing w:val="0"/>
              <w:jc w:val="right"/>
              <w:rPr>
                <w:rFonts w:ascii="Calibri" w:eastAsia="Calibri" w:hAnsi="Calibri" w:cs="Times New Roman"/>
                <w:color w:val="auto"/>
                <w:sz w:val="16"/>
                <w:szCs w:val="16"/>
              </w:rPr>
            </w:pPr>
            <w:r w:rsidRPr="00C61AFC">
              <w:rPr>
                <w:rFonts w:ascii="Calibri" w:eastAsia="Calibri" w:hAnsi="Calibri" w:cs="Times New Roman"/>
                <w:color w:val="auto"/>
                <w:sz w:val="16"/>
                <w:szCs w:val="16"/>
              </w:rPr>
              <w:t>Did not work</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2,602</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2,598</w:t>
            </w:r>
          </w:p>
        </w:tc>
        <w:tc>
          <w:tcPr>
            <w:tcW w:w="1541"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2,667</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2,298</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2,123</w:t>
            </w:r>
          </w:p>
        </w:tc>
        <w:tc>
          <w:tcPr>
            <w:tcW w:w="1542"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bl>
    <w:p w:rsidR="00C61AFC" w:rsidRPr="00C61AFC" w:rsidRDefault="00C61AFC" w:rsidP="00C61AFC">
      <w:pPr>
        <w:spacing w:line="240" w:lineRule="auto"/>
        <w:contextualSpacing w:val="0"/>
        <w:jc w:val="both"/>
        <w:rPr>
          <w:rFonts w:ascii="Calibri" w:eastAsia="Calibri" w:hAnsi="Calibri" w:cs="Times New Roman"/>
          <w:color w:val="FF0000"/>
          <w:sz w:val="22"/>
          <w:szCs w:val="22"/>
          <w:lang w:eastAsia="en-US"/>
        </w:rPr>
      </w:pPr>
    </w:p>
    <w:tbl>
      <w:tblPr>
        <w:tblStyle w:val="TableGrid5"/>
        <w:tblW w:w="0" w:type="auto"/>
        <w:tblLook w:val="04A0" w:firstRow="1" w:lastRow="0" w:firstColumn="1" w:lastColumn="0" w:noHBand="0" w:noVBand="1"/>
      </w:tblPr>
      <w:tblGrid>
        <w:gridCol w:w="2697"/>
        <w:gridCol w:w="2697"/>
        <w:gridCol w:w="2698"/>
        <w:gridCol w:w="2698"/>
      </w:tblGrid>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 xml:space="preserve">LIVING WAGE CALCULATION </w:t>
            </w:r>
            <w:r w:rsidRPr="00C61AFC">
              <w:rPr>
                <w:rFonts w:ascii="Calibri" w:eastAsia="Calibri" w:hAnsi="Calibri" w:cs="Times New Roman"/>
                <w:color w:val="auto"/>
                <w:sz w:val="18"/>
                <w:szCs w:val="18"/>
              </w:rPr>
              <w:t>(4)</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 Adult/1 Child</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 Adults (1 working), 2 kids</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Hourly Wages/Living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$23.42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$18.06</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$24.46</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Hourly Wages/Poverty Wage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$7.00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$11.00</w:t>
            </w: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rPr>
                <w:rFonts w:ascii="Calibri" w:eastAsia="Calibri" w:hAnsi="Calibri" w:cs="Times New Roman"/>
                <w:b/>
                <w:color w:val="auto"/>
                <w:sz w:val="18"/>
                <w:szCs w:val="18"/>
              </w:rPr>
            </w:pPr>
            <w:r w:rsidRPr="00C61AFC">
              <w:rPr>
                <w:rFonts w:ascii="Calibri" w:eastAsia="Calibri" w:hAnsi="Calibri" w:cs="Times New Roman"/>
                <w:b/>
                <w:color w:val="auto"/>
                <w:sz w:val="18"/>
                <w:szCs w:val="18"/>
              </w:rPr>
              <w:t>Annual Expenses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Food</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$5,245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$10,487</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Child Care</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$7,157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$0</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Medical</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$7,587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$5,593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$7,364</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Housing</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$8,172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$6,852</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$8,172</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Transportation</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$7,975</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$10,051</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Other</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$4,533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$6,395</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Required Annual Income After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$40,669</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$31,487</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$42,469</w:t>
            </w:r>
          </w:p>
        </w:tc>
      </w:tr>
      <w:tr w:rsidR="00C61AFC" w:rsidRPr="00C61AFC" w:rsidTr="004C765C">
        <w:tc>
          <w:tcPr>
            <w:tcW w:w="2697" w:type="dxa"/>
          </w:tcPr>
          <w:p w:rsidR="00C61AFC" w:rsidRPr="00C61AFC" w:rsidRDefault="00C61AFC" w:rsidP="00C61AFC">
            <w:pPr>
              <w:spacing w:line="240" w:lineRule="auto"/>
              <w:contextualSpacing w:val="0"/>
              <w:jc w:val="right"/>
              <w:rPr>
                <w:rFonts w:ascii="Calibri" w:eastAsia="Calibri" w:hAnsi="Calibri" w:cs="Times New Roman"/>
                <w:b/>
                <w:color w:val="auto"/>
                <w:sz w:val="18"/>
                <w:szCs w:val="18"/>
              </w:rPr>
            </w:pPr>
            <w:r w:rsidRPr="00C61AFC">
              <w:rPr>
                <w:rFonts w:ascii="Calibri" w:eastAsia="Calibri" w:hAnsi="Calibri" w:cs="Times New Roman"/>
                <w:b/>
                <w:color w:val="auto"/>
                <w:sz w:val="18"/>
                <w:szCs w:val="18"/>
              </w:rPr>
              <w:t>Required Annual Income Before Taxes</w:t>
            </w:r>
          </w:p>
        </w:tc>
        <w:tc>
          <w:tcPr>
            <w:tcW w:w="2697"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$48,713</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$37,560</w:t>
            </w:r>
          </w:p>
        </w:tc>
        <w:tc>
          <w:tcPr>
            <w:tcW w:w="2698" w:type="dxa"/>
          </w:tcPr>
          <w:p w:rsidR="00C61AFC" w:rsidRPr="00C61AFC" w:rsidRDefault="00C61AFC" w:rsidP="00C61AFC">
            <w:pPr>
              <w:spacing w:line="240" w:lineRule="auto"/>
              <w:contextualSpacing w:val="0"/>
              <w:jc w:val="center"/>
              <w:rPr>
                <w:rFonts w:ascii="Calibri" w:eastAsia="Calibri" w:hAnsi="Calibri" w:cs="Times New Roman"/>
                <w:b/>
                <w:color w:val="auto"/>
                <w:sz w:val="18"/>
                <w:szCs w:val="18"/>
              </w:rPr>
            </w:pPr>
            <w:r w:rsidRPr="00C61AFC">
              <w:rPr>
                <w:rFonts w:ascii="Calibri" w:eastAsia="Calibri" w:hAnsi="Calibri" w:cs="Times New Roman"/>
                <w:b/>
                <w:color w:val="auto"/>
                <w:sz w:val="18"/>
                <w:szCs w:val="18"/>
              </w:rPr>
              <w:t>$50,883</w:t>
            </w:r>
          </w:p>
        </w:tc>
      </w:tr>
    </w:tbl>
    <w:p w:rsidR="00C61AFC" w:rsidRPr="00C61AFC" w:rsidRDefault="00C61AFC" w:rsidP="00C61AFC">
      <w:pPr>
        <w:spacing w:after="160" w:line="259" w:lineRule="auto"/>
        <w:contextualSpacing w:val="0"/>
        <w:rPr>
          <w:rFonts w:ascii="Calibri" w:eastAsia="Calibri" w:hAnsi="Calibri" w:cs="Times New Roman"/>
          <w:b/>
          <w:color w:val="FF0000"/>
          <w:szCs w:val="24"/>
          <w:lang w:eastAsia="en-US"/>
        </w:rPr>
      </w:pPr>
    </w:p>
    <w:p w:rsidR="00C61AFC" w:rsidRPr="00C61AFC" w:rsidRDefault="00C61AFC" w:rsidP="00C61AFC">
      <w:pPr>
        <w:spacing w:after="160" w:line="259" w:lineRule="auto"/>
        <w:contextualSpacing w:val="0"/>
        <w:jc w:val="both"/>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Earlier we spoke about the growing divergence between average wages and average housing sales prices. When Section B was researched and written in late 2017 we did not have new “living wage” information for the four counties. With this update for 2018 we of course find an even deepening disparity. The projected living wage for Flathead County is $23.85 for an adult with one child while the average annual wage was actually $19.62. In Lake County that contrast was $23.51 versus $16.94, in Lincoln County it was $23.42 versus $16.66 and in Sanders County it was $23.42 versus $15.44.</w:t>
      </w:r>
    </w:p>
    <w:p w:rsidR="00C61AFC" w:rsidRPr="00C61AFC" w:rsidRDefault="00C61AFC" w:rsidP="00C61AFC">
      <w:pPr>
        <w:spacing w:after="160" w:line="259" w:lineRule="auto"/>
        <w:contextualSpacing w:val="0"/>
        <w:rPr>
          <w:rFonts w:ascii="Calibri" w:eastAsia="Calibri" w:hAnsi="Calibri" w:cs="Times New Roman"/>
          <w:b/>
          <w:color w:val="FF0000"/>
          <w:szCs w:val="24"/>
          <w:u w:val="single"/>
          <w:lang w:eastAsia="en-US"/>
        </w:rPr>
      </w:pPr>
      <w:r w:rsidRPr="00C61AFC">
        <w:rPr>
          <w:rFonts w:ascii="Calibri" w:eastAsia="Calibri" w:hAnsi="Calibri" w:cs="Times New Roman"/>
          <w:b/>
          <w:color w:val="auto"/>
          <w:szCs w:val="24"/>
          <w:u w:val="single"/>
          <w:lang w:eastAsia="en-US"/>
        </w:rPr>
        <w:t>SELECT STATEWIDE TRENDS on SENIORS.</w:t>
      </w:r>
    </w:p>
    <w:p w:rsidR="00C61AFC" w:rsidRPr="00C61AFC" w:rsidRDefault="00C61AFC" w:rsidP="00C61AFC">
      <w:pPr>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I recently reviewed a presentation by the Director of the Flathead County Agency on Aging in which she presented some rather startling statistics for our aging population and its service needs. Here are a few highlights:</w:t>
      </w:r>
    </w:p>
    <w:p w:rsidR="00C61AFC" w:rsidRPr="00C61AFC" w:rsidRDefault="00C61AFC" w:rsidP="00C61AFC">
      <w:pPr>
        <w:numPr>
          <w:ilvl w:val="0"/>
          <w:numId w:val="29"/>
        </w:numPr>
        <w:spacing w:after="160"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In the United States; adults 65+ are 14.5% of the population now and growing as 10,000 Baby Boomers turn 65 each day. Older adults will double to 80 million between now and 2030 and will represent one in five Americans. The older we get, the more likely we are to need assistance with daily care.</w:t>
      </w:r>
    </w:p>
    <w:p w:rsidR="00C61AFC" w:rsidRPr="00C61AFC" w:rsidRDefault="00C61AFC" w:rsidP="00C61AFC">
      <w:pPr>
        <w:numPr>
          <w:ilvl w:val="0"/>
          <w:numId w:val="29"/>
        </w:numPr>
        <w:spacing w:after="160"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Montana is aging faster than the rest of the nation. By 2030, more than 30% of our population will be 60 or older and 25% will be 65 or older, making it the 5</w:t>
      </w:r>
      <w:r w:rsidRPr="00C61AFC">
        <w:rPr>
          <w:rFonts w:ascii="Calibri" w:eastAsia="Calibri" w:hAnsi="Calibri" w:cs="Times New Roman"/>
          <w:color w:val="auto"/>
          <w:sz w:val="22"/>
          <w:szCs w:val="22"/>
          <w:vertAlign w:val="superscript"/>
          <w:lang w:eastAsia="en-US"/>
        </w:rPr>
        <w:t>th</w:t>
      </w:r>
      <w:r w:rsidRPr="00C61AFC">
        <w:rPr>
          <w:rFonts w:ascii="Calibri" w:eastAsia="Calibri" w:hAnsi="Calibri" w:cs="Times New Roman"/>
          <w:color w:val="auto"/>
          <w:sz w:val="22"/>
          <w:szCs w:val="22"/>
          <w:lang w:eastAsia="en-US"/>
        </w:rPr>
        <w:t xml:space="preserve"> “oldest” state in the U.S. In more rural counties of the state, older adults will represent as much as 70% of the population by 2030.</w:t>
      </w:r>
    </w:p>
    <w:p w:rsidR="00C61AFC" w:rsidRPr="00C61AFC" w:rsidRDefault="00C61AFC" w:rsidP="00C61AFC">
      <w:pPr>
        <w:numPr>
          <w:ilvl w:val="0"/>
          <w:numId w:val="29"/>
        </w:numPr>
        <w:spacing w:after="160"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27,000 Montanans will have Alzheimer’s by 2025 (up 42% from now) – 6</w:t>
      </w:r>
      <w:r w:rsidRPr="00C61AFC">
        <w:rPr>
          <w:rFonts w:ascii="Calibri" w:eastAsia="Calibri" w:hAnsi="Calibri" w:cs="Times New Roman"/>
          <w:color w:val="auto"/>
          <w:sz w:val="22"/>
          <w:szCs w:val="22"/>
          <w:vertAlign w:val="superscript"/>
          <w:lang w:eastAsia="en-US"/>
        </w:rPr>
        <w:t>th</w:t>
      </w:r>
      <w:r w:rsidRPr="00C61AFC">
        <w:rPr>
          <w:rFonts w:ascii="Calibri" w:eastAsia="Calibri" w:hAnsi="Calibri" w:cs="Times New Roman"/>
          <w:color w:val="auto"/>
          <w:sz w:val="22"/>
          <w:szCs w:val="22"/>
          <w:lang w:eastAsia="en-US"/>
        </w:rPr>
        <w:t xml:space="preserve"> leading cause of death. Older adults have sharply decreased savings over the last 40 years. There are fewer employer-based pensions. More people rely on Social Security only – true of 1 in 3 Montanans. Poverty rates are increasing among older adults.</w:t>
      </w:r>
    </w:p>
    <w:p w:rsidR="00C61AFC" w:rsidRPr="00C61AFC" w:rsidRDefault="00C61AFC" w:rsidP="00C61AFC">
      <w:pPr>
        <w:spacing w:line="240" w:lineRule="auto"/>
        <w:contextualSpacing w:val="0"/>
        <w:rPr>
          <w:rFonts w:ascii="Calibri" w:eastAsia="Calibri" w:hAnsi="Calibri" w:cs="Times New Roman"/>
          <w:color w:val="auto"/>
          <w:sz w:val="22"/>
          <w:szCs w:val="22"/>
          <w:lang w:eastAsia="en-US"/>
        </w:rPr>
      </w:pPr>
    </w:p>
    <w:p w:rsidR="00C61AFC" w:rsidRPr="00C61AFC" w:rsidRDefault="00C61AFC" w:rsidP="00C61AFC">
      <w:pPr>
        <w:spacing w:line="240" w:lineRule="auto"/>
        <w:contextualSpacing w:val="0"/>
        <w:rPr>
          <w:rFonts w:ascii="Calibri" w:eastAsia="Calibri" w:hAnsi="Calibri" w:cs="Times New Roman"/>
          <w:b/>
          <w:color w:val="auto"/>
          <w:szCs w:val="24"/>
          <w:u w:val="single"/>
          <w:lang w:eastAsia="en-US"/>
        </w:rPr>
      </w:pPr>
      <w:r w:rsidRPr="00C61AFC">
        <w:rPr>
          <w:rFonts w:ascii="Calibri" w:eastAsia="Calibri" w:hAnsi="Calibri" w:cs="Times New Roman"/>
          <w:b/>
          <w:color w:val="auto"/>
          <w:szCs w:val="24"/>
          <w:u w:val="single"/>
          <w:lang w:eastAsia="en-US"/>
        </w:rPr>
        <w:t>FINAL OBSERVATIONS.</w:t>
      </w:r>
    </w:p>
    <w:p w:rsidR="00C61AFC" w:rsidRPr="00C61AFC" w:rsidRDefault="00C61AFC" w:rsidP="00C61AFC">
      <w:pPr>
        <w:spacing w:line="240" w:lineRule="auto"/>
        <w:contextualSpacing w:val="0"/>
        <w:rPr>
          <w:rFonts w:ascii="Calibri" w:eastAsia="Calibri" w:hAnsi="Calibri" w:cs="Times New Roman"/>
          <w:b/>
          <w:color w:val="auto"/>
          <w:szCs w:val="24"/>
          <w:u w:val="single"/>
          <w:lang w:eastAsia="en-US"/>
        </w:rPr>
      </w:pPr>
    </w:p>
    <w:p w:rsidR="00C61AFC" w:rsidRPr="00083D76" w:rsidRDefault="00C61AFC" w:rsidP="00C61AFC">
      <w:pPr>
        <w:numPr>
          <w:ilvl w:val="0"/>
          <w:numId w:val="32"/>
        </w:numPr>
        <w:spacing w:after="160"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On April 3</w:t>
      </w:r>
      <w:r w:rsidRPr="00C61AFC">
        <w:rPr>
          <w:rFonts w:ascii="Calibri" w:eastAsia="Calibri" w:hAnsi="Calibri" w:cs="Times New Roman"/>
          <w:color w:val="auto"/>
          <w:sz w:val="22"/>
          <w:szCs w:val="22"/>
          <w:vertAlign w:val="superscript"/>
          <w:lang w:eastAsia="en-US"/>
        </w:rPr>
        <w:t>rd</w:t>
      </w:r>
      <w:r w:rsidRPr="00C61AFC">
        <w:rPr>
          <w:rFonts w:ascii="Calibri" w:eastAsia="Calibri" w:hAnsi="Calibri" w:cs="Times New Roman"/>
          <w:color w:val="auto"/>
          <w:sz w:val="22"/>
          <w:szCs w:val="22"/>
          <w:lang w:eastAsia="en-US"/>
        </w:rPr>
        <w:t xml:space="preserve"> the Daily Inter Lake ran a story indicating that the State of Idaho led the nation in worker earnings growth. The Federal Bureau of Economic Analysis reported that Idaho workers’ wages increased by 5.3 percent in 2017. The average Idaho worker earned $40,456 however Idaho workers still earn less than every bordering state notes the Idaho Statesman newspaper. The Statesman also notes that the “statistics measure overall earnings not earning per worker. And because Idaho added 24,800 jobs in 2017 wages paid to those workers</w:t>
      </w:r>
      <w:r w:rsidR="00083D76">
        <w:rPr>
          <w:rFonts w:ascii="Calibri" w:eastAsia="Calibri" w:hAnsi="Calibri" w:cs="Times New Roman"/>
          <w:color w:val="auto"/>
          <w:sz w:val="22"/>
          <w:szCs w:val="22"/>
          <w:lang w:eastAsia="en-US"/>
        </w:rPr>
        <w:t xml:space="preserve"> bulked up the earnings growth.</w:t>
      </w:r>
    </w:p>
    <w:p w:rsidR="00C61AFC" w:rsidRPr="00C61AFC" w:rsidRDefault="00C61AFC" w:rsidP="00A368A2">
      <w:pPr>
        <w:spacing w:line="240" w:lineRule="auto"/>
        <w:contextualSpacing w:val="0"/>
        <w:rPr>
          <w:rFonts w:ascii="Calibri" w:eastAsia="Calibri" w:hAnsi="Calibri" w:cs="Times New Roman"/>
          <w:color w:val="auto"/>
          <w:sz w:val="16"/>
          <w:szCs w:val="16"/>
          <w:u w:val="single"/>
          <w:lang w:eastAsia="en-US"/>
        </w:rPr>
      </w:pPr>
      <w:r w:rsidRPr="00C61AFC">
        <w:rPr>
          <w:rFonts w:ascii="Calibri" w:eastAsia="Calibri" w:hAnsi="Calibri" w:cs="Times New Roman"/>
          <w:color w:val="auto"/>
          <w:sz w:val="16"/>
          <w:szCs w:val="16"/>
          <w:u w:val="single"/>
          <w:lang w:eastAsia="en-US"/>
        </w:rPr>
        <w:t>Footnotes:</w:t>
      </w:r>
    </w:p>
    <w:p w:rsidR="00C61AFC" w:rsidRPr="00C61AFC" w:rsidRDefault="00C61AFC" w:rsidP="00A368A2">
      <w:pPr>
        <w:numPr>
          <w:ilvl w:val="0"/>
          <w:numId w:val="30"/>
        </w:numPr>
        <w:spacing w:line="240" w:lineRule="auto"/>
        <w:contextualSpacing w:val="0"/>
        <w:rPr>
          <w:rFonts w:ascii="Calibri" w:eastAsia="Calibri" w:hAnsi="Calibri" w:cs="Times New Roman"/>
          <w:color w:val="auto"/>
          <w:sz w:val="16"/>
          <w:szCs w:val="16"/>
          <w:lang w:eastAsia="en-US"/>
        </w:rPr>
      </w:pPr>
      <w:r w:rsidRPr="00C61AFC">
        <w:rPr>
          <w:rFonts w:ascii="Calibri" w:eastAsia="Calibri" w:hAnsi="Calibri" w:cs="Times New Roman"/>
          <w:color w:val="auto"/>
          <w:sz w:val="16"/>
          <w:szCs w:val="16"/>
          <w:lang w:eastAsia="en-US"/>
        </w:rPr>
        <w:t>US Census Bureau, American Community Survey.</w:t>
      </w:r>
    </w:p>
    <w:p w:rsidR="00C61AFC" w:rsidRPr="00C61AFC" w:rsidRDefault="00C61AFC" w:rsidP="00A368A2">
      <w:pPr>
        <w:numPr>
          <w:ilvl w:val="0"/>
          <w:numId w:val="30"/>
        </w:numPr>
        <w:spacing w:line="240" w:lineRule="auto"/>
        <w:contextualSpacing w:val="0"/>
        <w:rPr>
          <w:rFonts w:ascii="Calibri" w:eastAsia="Calibri" w:hAnsi="Calibri" w:cs="Times New Roman"/>
          <w:color w:val="auto"/>
          <w:sz w:val="16"/>
          <w:szCs w:val="16"/>
          <w:lang w:eastAsia="en-US"/>
        </w:rPr>
      </w:pPr>
      <w:r w:rsidRPr="00C61AFC">
        <w:rPr>
          <w:rFonts w:ascii="Calibri" w:eastAsia="Calibri" w:hAnsi="Calibri" w:cs="Times New Roman"/>
          <w:color w:val="auto"/>
          <w:sz w:val="16"/>
          <w:szCs w:val="16"/>
          <w:lang w:eastAsia="en-US"/>
        </w:rPr>
        <w:t>US Census Bureau, Decennial Census</w:t>
      </w:r>
    </w:p>
    <w:p w:rsidR="00C61AFC" w:rsidRPr="00C61AFC" w:rsidRDefault="00C61AFC" w:rsidP="00A368A2">
      <w:pPr>
        <w:numPr>
          <w:ilvl w:val="0"/>
          <w:numId w:val="30"/>
        </w:numPr>
        <w:spacing w:line="240" w:lineRule="auto"/>
        <w:contextualSpacing w:val="0"/>
        <w:rPr>
          <w:rFonts w:ascii="Calibri" w:eastAsia="Calibri" w:hAnsi="Calibri" w:cs="Times New Roman"/>
          <w:color w:val="auto"/>
          <w:sz w:val="16"/>
          <w:szCs w:val="16"/>
          <w:lang w:eastAsia="en-US"/>
        </w:rPr>
      </w:pPr>
      <w:r w:rsidRPr="00C61AFC">
        <w:rPr>
          <w:rFonts w:ascii="Calibri" w:eastAsia="Calibri" w:hAnsi="Calibri" w:cs="Times New Roman"/>
          <w:color w:val="auto"/>
          <w:sz w:val="16"/>
          <w:szCs w:val="16"/>
          <w:lang w:eastAsia="en-US"/>
        </w:rPr>
        <w:t>HUD User publications</w:t>
      </w:r>
    </w:p>
    <w:p w:rsidR="00C61AFC" w:rsidRPr="00C61AFC" w:rsidRDefault="00C61AFC" w:rsidP="00A368A2">
      <w:pPr>
        <w:numPr>
          <w:ilvl w:val="0"/>
          <w:numId w:val="30"/>
        </w:numPr>
        <w:spacing w:line="240" w:lineRule="auto"/>
        <w:contextualSpacing w:val="0"/>
        <w:rPr>
          <w:rFonts w:ascii="Calibri" w:eastAsia="Calibri" w:hAnsi="Calibri" w:cs="Times New Roman"/>
          <w:color w:val="auto"/>
          <w:sz w:val="16"/>
          <w:szCs w:val="16"/>
          <w:lang w:eastAsia="en-US"/>
        </w:rPr>
      </w:pPr>
      <w:r w:rsidRPr="00C61AFC">
        <w:rPr>
          <w:rFonts w:ascii="Calibri" w:eastAsia="Calibri" w:hAnsi="Calibri" w:cs="Times New Roman"/>
          <w:color w:val="auto"/>
          <w:sz w:val="16"/>
          <w:szCs w:val="16"/>
          <w:lang w:eastAsia="en-US"/>
        </w:rPr>
        <w:t xml:space="preserve">Living Wage Calculator, MIT, 2018 by Dr. Amy K. </w:t>
      </w:r>
      <w:proofErr w:type="spellStart"/>
      <w:r w:rsidRPr="00C61AFC">
        <w:rPr>
          <w:rFonts w:ascii="Calibri" w:eastAsia="Calibri" w:hAnsi="Calibri" w:cs="Times New Roman"/>
          <w:color w:val="auto"/>
          <w:sz w:val="16"/>
          <w:szCs w:val="16"/>
          <w:lang w:eastAsia="en-US"/>
        </w:rPr>
        <w:t>Glasmeir</w:t>
      </w:r>
      <w:proofErr w:type="spellEnd"/>
      <w:r w:rsidRPr="00C61AFC">
        <w:rPr>
          <w:rFonts w:ascii="Calibri" w:eastAsia="Calibri" w:hAnsi="Calibri" w:cs="Times New Roman"/>
          <w:color w:val="auto"/>
          <w:sz w:val="16"/>
          <w:szCs w:val="16"/>
          <w:lang w:eastAsia="en-US"/>
        </w:rPr>
        <w:t xml:space="preserve"> (http://livingwage.mit.edu/counties/30029</w:t>
      </w:r>
    </w:p>
    <w:p w:rsidR="00C61AFC" w:rsidRDefault="009117F5" w:rsidP="00A368A2">
      <w:pPr>
        <w:numPr>
          <w:ilvl w:val="0"/>
          <w:numId w:val="30"/>
        </w:numPr>
        <w:spacing w:line="240" w:lineRule="auto"/>
        <w:contextualSpacing w:val="0"/>
        <w:rPr>
          <w:rFonts w:ascii="Calibri" w:eastAsia="Calibri" w:hAnsi="Calibri" w:cs="Times New Roman"/>
          <w:color w:val="auto"/>
          <w:sz w:val="16"/>
          <w:szCs w:val="16"/>
          <w:lang w:eastAsia="en-US"/>
        </w:rPr>
      </w:pPr>
      <w:r>
        <w:rPr>
          <w:rFonts w:ascii="Calibri" w:eastAsia="Calibri" w:hAnsi="Calibri" w:cs="Times New Roman"/>
          <w:noProof/>
          <w:color w:val="auto"/>
          <w:sz w:val="16"/>
          <w:szCs w:val="16"/>
          <w:lang w:eastAsia="en-US"/>
        </w:rPr>
        <w:drawing>
          <wp:anchor distT="0" distB="0" distL="114300" distR="114300" simplePos="0" relativeHeight="251678720" behindDoc="1" locked="0" layoutInCell="1" allowOverlap="1">
            <wp:simplePos x="0" y="0"/>
            <wp:positionH relativeFrom="column">
              <wp:posOffset>3209925</wp:posOffset>
            </wp:positionH>
            <wp:positionV relativeFrom="paragraph">
              <wp:posOffset>86360</wp:posOffset>
            </wp:positionV>
            <wp:extent cx="2819400" cy="1769745"/>
            <wp:effectExtent l="0" t="0" r="0"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539.JPG"/>
                    <pic:cNvPicPr/>
                  </pic:nvPicPr>
                  <pic:blipFill>
                    <a:blip r:embed="rId29">
                      <a:extLst>
                        <a:ext uri="{28A0092B-C50C-407E-A947-70E740481C1C}">
                          <a14:useLocalDpi xmlns:a14="http://schemas.microsoft.com/office/drawing/2010/main" val="0"/>
                        </a:ext>
                      </a:extLst>
                    </a:blip>
                    <a:stretch>
                      <a:fillRect/>
                    </a:stretch>
                  </pic:blipFill>
                  <pic:spPr>
                    <a:xfrm>
                      <a:off x="0" y="0"/>
                      <a:ext cx="2820375" cy="1770357"/>
                    </a:xfrm>
                    <a:prstGeom prst="rect">
                      <a:avLst/>
                    </a:prstGeom>
                  </pic:spPr>
                </pic:pic>
              </a:graphicData>
            </a:graphic>
            <wp14:sizeRelH relativeFrom="page">
              <wp14:pctWidth>0</wp14:pctWidth>
            </wp14:sizeRelH>
            <wp14:sizeRelV relativeFrom="page">
              <wp14:pctHeight>0</wp14:pctHeight>
            </wp14:sizeRelV>
          </wp:anchor>
        </w:drawing>
      </w:r>
      <w:r w:rsidR="00A368A2">
        <w:rPr>
          <w:rFonts w:ascii="Calibri" w:eastAsia="Calibri" w:hAnsi="Calibri" w:cs="Times New Roman"/>
          <w:noProof/>
          <w:color w:val="auto"/>
          <w:sz w:val="16"/>
          <w:szCs w:val="16"/>
          <w:lang w:eastAsia="en-US"/>
        </w:rPr>
        <w:drawing>
          <wp:anchor distT="0" distB="0" distL="114300" distR="114300" simplePos="0" relativeHeight="251674624" behindDoc="1" locked="0" layoutInCell="1" allowOverlap="1">
            <wp:simplePos x="0" y="0"/>
            <wp:positionH relativeFrom="column">
              <wp:posOffset>-238125</wp:posOffset>
            </wp:positionH>
            <wp:positionV relativeFrom="paragraph">
              <wp:posOffset>168275</wp:posOffset>
            </wp:positionV>
            <wp:extent cx="2990850" cy="168211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0516_171815.jpg"/>
                    <pic:cNvPicPr/>
                  </pic:nvPicPr>
                  <pic:blipFill>
                    <a:blip r:embed="rId30">
                      <a:extLst>
                        <a:ext uri="{28A0092B-C50C-407E-A947-70E740481C1C}">
                          <a14:useLocalDpi xmlns:a14="http://schemas.microsoft.com/office/drawing/2010/main" val="0"/>
                        </a:ext>
                      </a:extLst>
                    </a:blip>
                    <a:stretch>
                      <a:fillRect/>
                    </a:stretch>
                  </pic:blipFill>
                  <pic:spPr>
                    <a:xfrm>
                      <a:off x="0" y="0"/>
                      <a:ext cx="2990850" cy="1682115"/>
                    </a:xfrm>
                    <a:prstGeom prst="rect">
                      <a:avLst/>
                    </a:prstGeom>
                  </pic:spPr>
                </pic:pic>
              </a:graphicData>
            </a:graphic>
            <wp14:sizeRelH relativeFrom="page">
              <wp14:pctWidth>0</wp14:pctWidth>
            </wp14:sizeRelH>
            <wp14:sizeRelV relativeFrom="page">
              <wp14:pctHeight>0</wp14:pctHeight>
            </wp14:sizeRelV>
          </wp:anchor>
        </w:drawing>
      </w:r>
      <w:r w:rsidR="00C61AFC" w:rsidRPr="00C61AFC">
        <w:rPr>
          <w:rFonts w:ascii="Calibri" w:eastAsia="Calibri" w:hAnsi="Calibri" w:cs="Times New Roman"/>
          <w:color w:val="auto"/>
          <w:sz w:val="16"/>
          <w:szCs w:val="16"/>
          <w:lang w:eastAsia="en-US"/>
        </w:rPr>
        <w:t>FY January 1, 2017 – December 31, 2017 service counts</w:t>
      </w: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A368A2" w:rsidP="00083D76">
      <w:pPr>
        <w:spacing w:after="160" w:line="240" w:lineRule="auto"/>
        <w:contextualSpacing w:val="0"/>
        <w:rPr>
          <w:rFonts w:ascii="Calibri" w:eastAsia="Calibri" w:hAnsi="Calibri" w:cs="Times New Roman"/>
          <w:color w:val="auto"/>
          <w:sz w:val="16"/>
          <w:szCs w:val="16"/>
          <w:lang w:eastAsia="en-US"/>
        </w:rPr>
      </w:pPr>
      <w:r>
        <w:rPr>
          <w:rFonts w:ascii="Calibri" w:eastAsia="Calibri" w:hAnsi="Calibri" w:cs="Times New Roman"/>
          <w:noProof/>
          <w:color w:val="auto"/>
          <w:sz w:val="16"/>
          <w:szCs w:val="16"/>
          <w:lang w:eastAsia="en-US"/>
        </w:rPr>
        <w:drawing>
          <wp:anchor distT="0" distB="0" distL="114300" distR="114300" simplePos="0" relativeHeight="251676672" behindDoc="1" locked="0" layoutInCell="1" allowOverlap="1">
            <wp:simplePos x="0" y="0"/>
            <wp:positionH relativeFrom="column">
              <wp:posOffset>159257</wp:posOffset>
            </wp:positionH>
            <wp:positionV relativeFrom="paragraph">
              <wp:posOffset>33147</wp:posOffset>
            </wp:positionV>
            <wp:extent cx="2078745" cy="2460489"/>
            <wp:effectExtent l="0" t="317"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685.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2081567" cy="2463829"/>
                    </a:xfrm>
                    <a:prstGeom prst="rect">
                      <a:avLst/>
                    </a:prstGeom>
                  </pic:spPr>
                </pic:pic>
              </a:graphicData>
            </a:graphic>
            <wp14:sizeRelH relativeFrom="page">
              <wp14:pctWidth>0</wp14:pctWidth>
            </wp14:sizeRelH>
            <wp14:sizeRelV relativeFrom="page">
              <wp14:pctHeight>0</wp14:pctHeight>
            </wp14:sizeRelV>
          </wp:anchor>
        </w:drawing>
      </w:r>
      <w:r w:rsidR="00F3792B">
        <w:rPr>
          <w:rFonts w:ascii="Calibri" w:eastAsia="Calibri" w:hAnsi="Calibri" w:cs="Times New Roman"/>
          <w:noProof/>
          <w:color w:val="auto"/>
          <w:sz w:val="16"/>
          <w:szCs w:val="16"/>
          <w:lang w:eastAsia="en-US"/>
        </w:rPr>
        <w:drawing>
          <wp:anchor distT="0" distB="0" distL="114300" distR="114300" simplePos="0" relativeHeight="251677696" behindDoc="1" locked="0" layoutInCell="1" allowOverlap="1">
            <wp:simplePos x="0" y="0"/>
            <wp:positionH relativeFrom="column">
              <wp:posOffset>3580778</wp:posOffset>
            </wp:positionH>
            <wp:positionV relativeFrom="paragraph">
              <wp:posOffset>69203</wp:posOffset>
            </wp:positionV>
            <wp:extent cx="2127859" cy="2366702"/>
            <wp:effectExtent l="0" t="5398" r="953" b="952"/>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0694.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2133390" cy="2372853"/>
                    </a:xfrm>
                    <a:prstGeom prst="rect">
                      <a:avLst/>
                    </a:prstGeom>
                  </pic:spPr>
                </pic:pic>
              </a:graphicData>
            </a:graphic>
            <wp14:sizeRelH relativeFrom="page">
              <wp14:pctWidth>0</wp14:pctWidth>
            </wp14:sizeRelH>
            <wp14:sizeRelV relativeFrom="page">
              <wp14:pctHeight>0</wp14:pctHeight>
            </wp14:sizeRelV>
          </wp:anchor>
        </w:drawing>
      </w: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083D76" w:rsidRDefault="00083D76" w:rsidP="00083D76">
      <w:pPr>
        <w:spacing w:after="160" w:line="240" w:lineRule="auto"/>
        <w:contextualSpacing w:val="0"/>
        <w:rPr>
          <w:rFonts w:ascii="Calibri" w:eastAsia="Calibri" w:hAnsi="Calibri" w:cs="Times New Roman"/>
          <w:color w:val="auto"/>
          <w:sz w:val="16"/>
          <w:szCs w:val="16"/>
          <w:lang w:eastAsia="en-US"/>
        </w:rPr>
      </w:pPr>
    </w:p>
    <w:p w:rsidR="00A368A2" w:rsidRDefault="00A368A2" w:rsidP="00083D76">
      <w:pPr>
        <w:spacing w:after="160" w:line="240" w:lineRule="auto"/>
        <w:contextualSpacing w:val="0"/>
        <w:rPr>
          <w:rFonts w:ascii="Calibri" w:eastAsia="Calibri" w:hAnsi="Calibri" w:cs="Times New Roman"/>
          <w:color w:val="auto"/>
          <w:sz w:val="16"/>
          <w:szCs w:val="16"/>
          <w:lang w:eastAsia="en-US"/>
        </w:rPr>
      </w:pPr>
    </w:p>
    <w:p w:rsidR="00A368A2" w:rsidRDefault="00A368A2" w:rsidP="00083D76">
      <w:pPr>
        <w:spacing w:after="160" w:line="240" w:lineRule="auto"/>
        <w:contextualSpacing w:val="0"/>
        <w:rPr>
          <w:rFonts w:ascii="Calibri" w:eastAsia="Calibri" w:hAnsi="Calibri" w:cs="Times New Roman"/>
          <w:color w:val="auto"/>
          <w:sz w:val="16"/>
          <w:szCs w:val="16"/>
          <w:lang w:eastAsia="en-US"/>
        </w:rPr>
      </w:pPr>
    </w:p>
    <w:p w:rsidR="00C61AFC" w:rsidRDefault="00C61AFC" w:rsidP="00C61AFC">
      <w:pPr>
        <w:autoSpaceDE w:val="0"/>
        <w:autoSpaceDN w:val="0"/>
        <w:adjustRightInd w:val="0"/>
        <w:spacing w:line="240" w:lineRule="auto"/>
        <w:contextualSpacing w:val="0"/>
        <w:rPr>
          <w:rFonts w:ascii="Calibri" w:eastAsia="Calibri" w:hAnsi="Calibri" w:cs="Times New Roman"/>
          <w:color w:val="auto"/>
          <w:sz w:val="16"/>
          <w:szCs w:val="16"/>
          <w:lang w:eastAsia="en-US"/>
        </w:rPr>
      </w:pPr>
    </w:p>
    <w:p w:rsidR="00A368A2" w:rsidRPr="00C61AFC" w:rsidRDefault="00A368A2" w:rsidP="00C61AFC">
      <w:pPr>
        <w:autoSpaceDE w:val="0"/>
        <w:autoSpaceDN w:val="0"/>
        <w:adjustRightInd w:val="0"/>
        <w:spacing w:line="240" w:lineRule="auto"/>
        <w:contextualSpacing w:val="0"/>
        <w:rPr>
          <w:rFonts w:ascii="Calibri" w:eastAsia="Calibri" w:hAnsi="Calibri" w:cs="Times New Roman"/>
          <w:b/>
          <w:color w:val="auto"/>
          <w:szCs w:val="24"/>
          <w:u w:val="single"/>
          <w:lang w:eastAsia="en-US"/>
        </w:rPr>
      </w:pPr>
    </w:p>
    <w:p w:rsidR="00C61AFC" w:rsidRDefault="00C61AFC" w:rsidP="00C61AFC">
      <w:pPr>
        <w:autoSpaceDE w:val="0"/>
        <w:autoSpaceDN w:val="0"/>
        <w:adjustRightInd w:val="0"/>
        <w:spacing w:line="240" w:lineRule="auto"/>
        <w:contextualSpacing w:val="0"/>
        <w:jc w:val="center"/>
        <w:rPr>
          <w:rFonts w:ascii="Calibri" w:eastAsia="Calibri" w:hAnsi="Calibri" w:cs="Times New Roman"/>
          <w:b/>
          <w:color w:val="auto"/>
          <w:szCs w:val="24"/>
          <w:u w:val="single"/>
          <w:lang w:eastAsia="en-US"/>
        </w:rPr>
      </w:pPr>
      <w:r w:rsidRPr="00C61AFC">
        <w:rPr>
          <w:rFonts w:ascii="Calibri" w:eastAsia="Calibri" w:hAnsi="Calibri" w:cs="Times New Roman"/>
          <w:b/>
          <w:color w:val="auto"/>
          <w:szCs w:val="24"/>
          <w:u w:val="single"/>
          <w:lang w:eastAsia="en-US"/>
        </w:rPr>
        <w:t>Community Board of Directors</w:t>
      </w:r>
    </w:p>
    <w:p w:rsidR="00AC07A1" w:rsidRPr="00C61AFC" w:rsidRDefault="00AC07A1" w:rsidP="00C61AFC">
      <w:pPr>
        <w:autoSpaceDE w:val="0"/>
        <w:autoSpaceDN w:val="0"/>
        <w:adjustRightInd w:val="0"/>
        <w:spacing w:line="240" w:lineRule="auto"/>
        <w:contextualSpacing w:val="0"/>
        <w:jc w:val="center"/>
        <w:rPr>
          <w:rFonts w:ascii="Calibri" w:eastAsia="Calibri" w:hAnsi="Calibri" w:cs="Times New Roman"/>
          <w:b/>
          <w:color w:val="auto"/>
          <w:szCs w:val="24"/>
          <w:u w:val="single"/>
          <w:lang w:eastAsia="en-US"/>
        </w:rPr>
      </w:pP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Chance Barrett, Flathead CTY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t>Wendy Nissen, Flathead CTY</w:t>
      </w:r>
      <w:r w:rsidRPr="00C61AFC">
        <w:rPr>
          <w:rFonts w:ascii="Calibri" w:eastAsia="Calibri" w:hAnsi="Calibri" w:cs="Times New Roman"/>
          <w:color w:val="auto"/>
          <w:sz w:val="22"/>
          <w:szCs w:val="22"/>
          <w:lang w:eastAsia="en-US"/>
        </w:rPr>
        <w:tab/>
      </w:r>
      <w:r w:rsidR="00AC07A1">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 xml:space="preserve">Holly Wagner, Flathead CTY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Laura </w:t>
      </w:r>
      <w:proofErr w:type="spellStart"/>
      <w:r w:rsidRPr="00C61AFC">
        <w:rPr>
          <w:rFonts w:ascii="Calibri" w:eastAsia="Calibri" w:hAnsi="Calibri" w:cs="Times New Roman"/>
          <w:color w:val="auto"/>
          <w:sz w:val="22"/>
          <w:szCs w:val="22"/>
          <w:lang w:eastAsia="en-US"/>
        </w:rPr>
        <w:t>Burrowes</w:t>
      </w:r>
      <w:proofErr w:type="spellEnd"/>
      <w:r w:rsidRPr="00C61AFC">
        <w:rPr>
          <w:rFonts w:ascii="Calibri" w:eastAsia="Calibri" w:hAnsi="Calibri" w:cs="Times New Roman"/>
          <w:color w:val="auto"/>
          <w:sz w:val="22"/>
          <w:szCs w:val="22"/>
          <w:lang w:eastAsia="en-US"/>
        </w:rPr>
        <w:t xml:space="preserve">, Lake CTY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t xml:space="preserve">Vince </w:t>
      </w:r>
      <w:proofErr w:type="spellStart"/>
      <w:r w:rsidRPr="00C61AFC">
        <w:rPr>
          <w:rFonts w:ascii="Calibri" w:eastAsia="Calibri" w:hAnsi="Calibri" w:cs="Times New Roman"/>
          <w:color w:val="auto"/>
          <w:sz w:val="22"/>
          <w:szCs w:val="22"/>
          <w:lang w:eastAsia="en-US"/>
        </w:rPr>
        <w:t>Rubino</w:t>
      </w:r>
      <w:proofErr w:type="spellEnd"/>
      <w:r w:rsidRPr="00C61AFC">
        <w:rPr>
          <w:rFonts w:ascii="Calibri" w:eastAsia="Calibri" w:hAnsi="Calibri" w:cs="Times New Roman"/>
          <w:color w:val="auto"/>
          <w:sz w:val="22"/>
          <w:szCs w:val="22"/>
          <w:lang w:eastAsia="en-US"/>
        </w:rPr>
        <w:t xml:space="preserve">, Lake CTY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r>
      <w:r w:rsidR="00AC07A1">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 xml:space="preserve">Dave Stipe, Lake CTY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Robin Haidle (Pres), Lincoln CTY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t xml:space="preserve">Alan McCurry, Lincoln CTY </w:t>
      </w:r>
      <w:r w:rsidRPr="00C61AFC">
        <w:rPr>
          <w:rFonts w:ascii="Calibri" w:eastAsia="Calibri" w:hAnsi="Calibri" w:cs="Times New Roman"/>
          <w:color w:val="auto"/>
          <w:sz w:val="22"/>
          <w:szCs w:val="22"/>
          <w:lang w:eastAsia="en-US"/>
        </w:rPr>
        <w:tab/>
      </w:r>
      <w:r w:rsidR="00AC07A1">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 xml:space="preserve">Karen Disney, Lincoln CTY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Glen </w:t>
      </w:r>
      <w:proofErr w:type="spellStart"/>
      <w:r w:rsidRPr="00C61AFC">
        <w:rPr>
          <w:rFonts w:ascii="Calibri" w:eastAsia="Calibri" w:hAnsi="Calibri" w:cs="Times New Roman"/>
          <w:color w:val="auto"/>
          <w:sz w:val="22"/>
          <w:szCs w:val="22"/>
          <w:lang w:eastAsia="en-US"/>
        </w:rPr>
        <w:t>Magera</w:t>
      </w:r>
      <w:proofErr w:type="spellEnd"/>
      <w:r w:rsidRPr="00C61AFC">
        <w:rPr>
          <w:rFonts w:ascii="Calibri" w:eastAsia="Calibri" w:hAnsi="Calibri" w:cs="Times New Roman"/>
          <w:color w:val="auto"/>
          <w:sz w:val="22"/>
          <w:szCs w:val="22"/>
          <w:lang w:eastAsia="en-US"/>
        </w:rPr>
        <w:t xml:space="preserve">, Sanders CTY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t xml:space="preserve">Debbie Phillips, Sanders CTY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0"/>
          <w:lang w:eastAsia="en-US"/>
        </w:rPr>
      </w:pPr>
    </w:p>
    <w:p w:rsidR="00C61AFC" w:rsidRDefault="00C61AFC" w:rsidP="00C61AFC">
      <w:pPr>
        <w:autoSpaceDE w:val="0"/>
        <w:autoSpaceDN w:val="0"/>
        <w:adjustRightInd w:val="0"/>
        <w:spacing w:line="240" w:lineRule="auto"/>
        <w:contextualSpacing w:val="0"/>
        <w:jc w:val="center"/>
        <w:rPr>
          <w:rFonts w:ascii="Calibri" w:eastAsia="Calibri" w:hAnsi="Calibri" w:cs="Times New Roman"/>
          <w:b/>
          <w:color w:val="auto"/>
          <w:szCs w:val="24"/>
          <w:u w:val="single"/>
          <w:lang w:eastAsia="en-US"/>
        </w:rPr>
      </w:pPr>
      <w:r w:rsidRPr="00C61AFC">
        <w:rPr>
          <w:rFonts w:ascii="Calibri" w:eastAsia="Calibri" w:hAnsi="Calibri" w:cs="Times New Roman"/>
          <w:b/>
          <w:color w:val="auto"/>
          <w:szCs w:val="24"/>
          <w:u w:val="single"/>
          <w:lang w:eastAsia="en-US"/>
        </w:rPr>
        <w:t>Agency Management Staff</w:t>
      </w:r>
    </w:p>
    <w:p w:rsidR="00AC07A1" w:rsidRPr="00C61AFC" w:rsidRDefault="00AC07A1" w:rsidP="00C61AFC">
      <w:pPr>
        <w:autoSpaceDE w:val="0"/>
        <w:autoSpaceDN w:val="0"/>
        <w:adjustRightInd w:val="0"/>
        <w:spacing w:line="240" w:lineRule="auto"/>
        <w:contextualSpacing w:val="0"/>
        <w:jc w:val="center"/>
        <w:rPr>
          <w:rFonts w:ascii="Calibri" w:eastAsia="Calibri" w:hAnsi="Calibri" w:cs="Times New Roman"/>
          <w:b/>
          <w:color w:val="auto"/>
          <w:szCs w:val="24"/>
          <w:u w:val="single"/>
          <w:lang w:eastAsia="en-US"/>
        </w:rPr>
      </w:pP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Tracy Diaz (Executi</w:t>
      </w:r>
      <w:r w:rsidR="00AC07A1">
        <w:rPr>
          <w:rFonts w:ascii="Calibri" w:eastAsia="Calibri" w:hAnsi="Calibri" w:cs="Times New Roman"/>
          <w:color w:val="auto"/>
          <w:sz w:val="22"/>
          <w:szCs w:val="22"/>
          <w:lang w:eastAsia="en-US"/>
        </w:rPr>
        <w:t xml:space="preserve">ve Director) </w:t>
      </w:r>
      <w:r w:rsidR="00AC07A1">
        <w:rPr>
          <w:rFonts w:ascii="Calibri" w:eastAsia="Calibri" w:hAnsi="Calibri" w:cs="Times New Roman"/>
          <w:color w:val="auto"/>
          <w:sz w:val="22"/>
          <w:szCs w:val="22"/>
          <w:lang w:eastAsia="en-US"/>
        </w:rPr>
        <w:tab/>
      </w:r>
      <w:r w:rsidR="00AC07A1">
        <w:rPr>
          <w:rFonts w:ascii="Calibri" w:eastAsia="Calibri" w:hAnsi="Calibri" w:cs="Times New Roman"/>
          <w:color w:val="auto"/>
          <w:sz w:val="22"/>
          <w:szCs w:val="22"/>
          <w:lang w:eastAsia="en-US"/>
        </w:rPr>
        <w:tab/>
        <w:t>Carrie Gable (CFO</w:t>
      </w:r>
      <w:r w:rsidRPr="00C61AFC">
        <w:rPr>
          <w:rFonts w:ascii="Calibri" w:eastAsia="Calibri" w:hAnsi="Calibri" w:cs="Times New Roman"/>
          <w:color w:val="auto"/>
          <w:sz w:val="22"/>
          <w:szCs w:val="22"/>
          <w:lang w:eastAsia="en-US"/>
        </w:rPr>
        <w:t>)</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r>
      <w:r w:rsidR="00135E7A">
        <w:rPr>
          <w:rFonts w:ascii="Calibri" w:eastAsia="Calibri" w:hAnsi="Calibri" w:cs="Times New Roman"/>
          <w:color w:val="auto"/>
          <w:sz w:val="22"/>
          <w:szCs w:val="22"/>
          <w:lang w:eastAsia="en-US"/>
        </w:rPr>
        <w:t xml:space="preserve">        </w:t>
      </w:r>
      <w:r w:rsidRPr="00C61AFC">
        <w:rPr>
          <w:rFonts w:ascii="Calibri" w:eastAsia="Calibri" w:hAnsi="Calibri" w:cs="Times New Roman"/>
          <w:color w:val="auto"/>
          <w:sz w:val="22"/>
          <w:szCs w:val="22"/>
          <w:lang w:eastAsia="en-US"/>
        </w:rPr>
        <w:t xml:space="preserve">Patrick Malone (Deputy Director)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Brian Bartos (Weatherization) </w:t>
      </w:r>
      <w:r w:rsidRPr="00C61AFC">
        <w:rPr>
          <w:rFonts w:ascii="Calibri" w:eastAsia="Calibri" w:hAnsi="Calibri" w:cs="Times New Roman"/>
          <w:color w:val="auto"/>
          <w:sz w:val="22"/>
          <w:szCs w:val="22"/>
          <w:lang w:eastAsia="en-US"/>
        </w:rPr>
        <w:tab/>
      </w:r>
      <w:r w:rsidRPr="00C61AFC">
        <w:rPr>
          <w:rFonts w:ascii="Calibri" w:eastAsia="Calibri" w:hAnsi="Calibri" w:cs="Times New Roman"/>
          <w:color w:val="auto"/>
          <w:sz w:val="22"/>
          <w:szCs w:val="22"/>
          <w:lang w:eastAsia="en-US"/>
        </w:rPr>
        <w:tab/>
        <w:t>Ca</w:t>
      </w:r>
      <w:r w:rsidR="00135E7A">
        <w:rPr>
          <w:rFonts w:ascii="Calibri" w:eastAsia="Calibri" w:hAnsi="Calibri" w:cs="Times New Roman"/>
          <w:color w:val="auto"/>
          <w:sz w:val="22"/>
          <w:szCs w:val="22"/>
          <w:lang w:eastAsia="en-US"/>
        </w:rPr>
        <w:t xml:space="preserve">ssidy Kipp (Community Services)   </w:t>
      </w:r>
      <w:r w:rsidRPr="00C61AFC">
        <w:rPr>
          <w:rFonts w:ascii="Calibri" w:eastAsia="Calibri" w:hAnsi="Calibri" w:cs="Times New Roman"/>
          <w:color w:val="auto"/>
          <w:sz w:val="22"/>
          <w:szCs w:val="22"/>
          <w:lang w:eastAsia="en-US"/>
        </w:rPr>
        <w:t>Marney McCleary (Housing</w:t>
      </w:r>
      <w:r w:rsidR="00135E7A">
        <w:rPr>
          <w:rFonts w:ascii="Calibri" w:eastAsia="Calibri" w:hAnsi="Calibri" w:cs="Times New Roman"/>
          <w:color w:val="auto"/>
          <w:sz w:val="22"/>
          <w:szCs w:val="22"/>
          <w:lang w:eastAsia="en-US"/>
        </w:rPr>
        <w:t xml:space="preserve"> Development</w:t>
      </w:r>
      <w:r w:rsidRPr="00C61AFC">
        <w:rPr>
          <w:rFonts w:ascii="Calibri" w:eastAsia="Calibri" w:hAnsi="Calibri" w:cs="Times New Roman"/>
          <w:color w:val="auto"/>
          <w:sz w:val="22"/>
          <w:szCs w:val="22"/>
          <w:lang w:eastAsia="en-US"/>
        </w:rPr>
        <w:t xml:space="preserve">) </w:t>
      </w:r>
    </w:p>
    <w:p w:rsidR="00C61AFC" w:rsidRPr="00C61AFC" w:rsidRDefault="00C61AFC" w:rsidP="00C61AFC">
      <w:pPr>
        <w:autoSpaceDE w:val="0"/>
        <w:autoSpaceDN w:val="0"/>
        <w:adjustRightInd w:val="0"/>
        <w:spacing w:line="240" w:lineRule="auto"/>
        <w:contextualSpacing w:val="0"/>
        <w:rPr>
          <w:rFonts w:ascii="Calibri" w:eastAsia="Calibri" w:hAnsi="Calibri" w:cs="Times New Roman"/>
          <w:color w:val="auto"/>
          <w:sz w:val="22"/>
          <w:szCs w:val="22"/>
          <w:lang w:eastAsia="en-US"/>
        </w:rPr>
      </w:pPr>
      <w:r w:rsidRPr="00C61AFC">
        <w:rPr>
          <w:rFonts w:ascii="Calibri" w:eastAsia="Calibri" w:hAnsi="Calibri" w:cs="Times New Roman"/>
          <w:color w:val="auto"/>
          <w:sz w:val="22"/>
          <w:szCs w:val="22"/>
          <w:lang w:eastAsia="en-US"/>
        </w:rPr>
        <w:t xml:space="preserve">Karen Nosek (Employment &amp; Training) </w:t>
      </w:r>
      <w:r w:rsidRPr="00C61AFC">
        <w:rPr>
          <w:rFonts w:ascii="Calibri" w:eastAsia="Calibri" w:hAnsi="Calibri" w:cs="Times New Roman"/>
          <w:color w:val="auto"/>
          <w:sz w:val="22"/>
          <w:szCs w:val="22"/>
          <w:lang w:eastAsia="en-US"/>
        </w:rPr>
        <w:tab/>
        <w:t xml:space="preserve">Kim Wallace (Fuel Assistance) </w:t>
      </w:r>
    </w:p>
    <w:p w:rsidR="00C61AFC" w:rsidRPr="00C61AFC" w:rsidRDefault="00C61AFC" w:rsidP="00C61AFC">
      <w:pPr>
        <w:autoSpaceDE w:val="0"/>
        <w:autoSpaceDN w:val="0"/>
        <w:adjustRightInd w:val="0"/>
        <w:spacing w:line="240" w:lineRule="auto"/>
        <w:contextualSpacing w:val="0"/>
        <w:rPr>
          <w:rFonts w:ascii="Formata" w:eastAsia="Calibri" w:hAnsi="Formata" w:cs="Times New Roman"/>
          <w:color w:val="auto"/>
          <w:szCs w:val="24"/>
          <w:lang w:eastAsia="en-US"/>
        </w:rPr>
      </w:pPr>
    </w:p>
    <w:p w:rsidR="00C61AFC" w:rsidRPr="00C61AFC" w:rsidRDefault="00C61AFC" w:rsidP="00C61AFC">
      <w:pPr>
        <w:autoSpaceDE w:val="0"/>
        <w:autoSpaceDN w:val="0"/>
        <w:adjustRightInd w:val="0"/>
        <w:spacing w:line="240" w:lineRule="auto"/>
        <w:contextualSpacing w:val="0"/>
        <w:jc w:val="center"/>
        <w:rPr>
          <w:rFonts w:ascii="Formata" w:eastAsia="Calibri" w:hAnsi="Formata" w:cs="Times New Roman"/>
          <w:noProof/>
          <w:color w:val="auto"/>
          <w:sz w:val="21"/>
          <w:szCs w:val="21"/>
          <w:lang w:eastAsia="en-US"/>
        </w:rPr>
      </w:pPr>
      <w:r w:rsidRPr="00C61AFC">
        <w:rPr>
          <w:rFonts w:ascii="Formata" w:eastAsia="Calibri" w:hAnsi="Formata" w:cs="Times New Roman"/>
          <w:noProof/>
          <w:color w:val="auto"/>
          <w:sz w:val="21"/>
          <w:szCs w:val="21"/>
          <w:lang w:eastAsia="en-US"/>
        </w:rPr>
        <w:drawing>
          <wp:inline distT="0" distB="0" distL="0" distR="0" wp14:anchorId="738FB912" wp14:editId="6BBBCDF7">
            <wp:extent cx="1019175" cy="57153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26613" cy="575708"/>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1ED96243" wp14:editId="149B5C9D">
            <wp:extent cx="600075" cy="6000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273CB653" wp14:editId="5F2B45F9">
            <wp:extent cx="885825" cy="61326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4633" cy="619361"/>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1A2847A9" wp14:editId="1651EEF2">
            <wp:extent cx="1171575" cy="37341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12542" cy="386467"/>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60487781" wp14:editId="571D758A">
            <wp:extent cx="847725" cy="472881"/>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6020" cy="477508"/>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20331BA2" wp14:editId="63B7C9ED">
            <wp:extent cx="971550" cy="4613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87812" cy="469098"/>
                    </a:xfrm>
                    <a:prstGeom prst="rect">
                      <a:avLst/>
                    </a:prstGeom>
                    <a:noFill/>
                    <a:ln>
                      <a:noFill/>
                    </a:ln>
                  </pic:spPr>
                </pic:pic>
              </a:graphicData>
            </a:graphic>
          </wp:inline>
        </w:drawing>
      </w:r>
    </w:p>
    <w:p w:rsidR="00C61AFC" w:rsidRPr="00C61AFC" w:rsidRDefault="00C61AFC" w:rsidP="00C61AFC">
      <w:pPr>
        <w:autoSpaceDE w:val="0"/>
        <w:autoSpaceDN w:val="0"/>
        <w:adjustRightInd w:val="0"/>
        <w:spacing w:line="240" w:lineRule="auto"/>
        <w:contextualSpacing w:val="0"/>
        <w:jc w:val="center"/>
        <w:rPr>
          <w:rFonts w:ascii="Formata" w:eastAsia="Calibri" w:hAnsi="Formata" w:cs="Times New Roman"/>
          <w:color w:val="auto"/>
          <w:sz w:val="21"/>
          <w:szCs w:val="21"/>
          <w:lang w:eastAsia="en-US"/>
        </w:rPr>
      </w:pPr>
      <w:r w:rsidRPr="00C61AFC">
        <w:rPr>
          <w:rFonts w:ascii="Formata" w:eastAsia="Calibri" w:hAnsi="Formata" w:cs="Times New Roman"/>
          <w:noProof/>
          <w:color w:val="auto"/>
          <w:sz w:val="21"/>
          <w:szCs w:val="21"/>
          <w:lang w:eastAsia="en-US"/>
        </w:rPr>
        <w:drawing>
          <wp:inline distT="0" distB="0" distL="0" distR="0" wp14:anchorId="1CCA6C28" wp14:editId="1CA3F2F4">
            <wp:extent cx="1143000" cy="337088"/>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55186" cy="340682"/>
                    </a:xfrm>
                    <a:prstGeom prst="rect">
                      <a:avLst/>
                    </a:prstGeom>
                    <a:noFill/>
                    <a:ln>
                      <a:noFill/>
                    </a:ln>
                  </pic:spPr>
                </pic:pic>
              </a:graphicData>
            </a:graphic>
          </wp:inline>
        </w:drawing>
      </w:r>
      <w:r w:rsidRPr="00C61AFC">
        <w:rPr>
          <w:rFonts w:ascii="Formata" w:eastAsia="Calibri" w:hAnsi="Formata" w:cs="Times New Roman"/>
          <w:noProof/>
          <w:color w:val="auto"/>
          <w:sz w:val="21"/>
          <w:szCs w:val="21"/>
          <w:lang w:eastAsia="en-US"/>
        </w:rPr>
        <w:drawing>
          <wp:inline distT="0" distB="0" distL="0" distR="0" wp14:anchorId="58AC4BDD" wp14:editId="64E7333A">
            <wp:extent cx="1438275" cy="287655"/>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8275" cy="287655"/>
                    </a:xfrm>
                    <a:prstGeom prst="rect">
                      <a:avLst/>
                    </a:prstGeom>
                    <a:noFill/>
                    <a:ln>
                      <a:noFill/>
                    </a:ln>
                  </pic:spPr>
                </pic:pic>
              </a:graphicData>
            </a:graphic>
          </wp:inline>
        </w:drawing>
      </w:r>
      <w:r w:rsidRPr="00C61AFC">
        <w:rPr>
          <w:rFonts w:ascii="Formata" w:eastAsia="Calibri" w:hAnsi="Formata" w:cs="Formata"/>
          <w:noProof/>
          <w:color w:val="000000"/>
          <w:sz w:val="21"/>
          <w:szCs w:val="21"/>
          <w:lang w:eastAsia="en-US"/>
        </w:rPr>
        <w:drawing>
          <wp:inline distT="0" distB="0" distL="0" distR="0" wp14:anchorId="14A51F06" wp14:editId="1DA3F2B0">
            <wp:extent cx="769500" cy="571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2352" cy="573618"/>
                    </a:xfrm>
                    <a:prstGeom prst="rect">
                      <a:avLst/>
                    </a:prstGeom>
                    <a:noFill/>
                    <a:ln>
                      <a:noFill/>
                    </a:ln>
                  </pic:spPr>
                </pic:pic>
              </a:graphicData>
            </a:graphic>
          </wp:inline>
        </w:drawing>
      </w:r>
    </w:p>
    <w:p w:rsidR="00C61AFC" w:rsidRPr="00C61AFC" w:rsidRDefault="00C61AFC" w:rsidP="00C61AFC">
      <w:pPr>
        <w:autoSpaceDE w:val="0"/>
        <w:autoSpaceDN w:val="0"/>
        <w:adjustRightInd w:val="0"/>
        <w:spacing w:line="240" w:lineRule="auto"/>
        <w:contextualSpacing w:val="0"/>
        <w:rPr>
          <w:rFonts w:ascii="Formata" w:eastAsia="Calibri" w:hAnsi="Formata" w:cs="Times New Roman"/>
          <w:color w:val="auto"/>
          <w:szCs w:val="24"/>
          <w:lang w:eastAsia="en-US"/>
        </w:rPr>
      </w:pPr>
    </w:p>
    <w:p w:rsidR="00C61AFC" w:rsidRPr="00C61AFC" w:rsidRDefault="00C61AFC" w:rsidP="00C61AFC">
      <w:pPr>
        <w:autoSpaceDE w:val="0"/>
        <w:autoSpaceDN w:val="0"/>
        <w:adjustRightInd w:val="0"/>
        <w:spacing w:line="240" w:lineRule="auto"/>
        <w:contextualSpacing w:val="0"/>
        <w:jc w:val="center"/>
        <w:rPr>
          <w:rFonts w:ascii="Calibri" w:eastAsia="Calibri" w:hAnsi="Calibri" w:cs="Times New Roman"/>
          <w:i/>
          <w:color w:val="auto"/>
          <w:sz w:val="18"/>
          <w:szCs w:val="18"/>
          <w:lang w:eastAsia="en-US"/>
        </w:rPr>
      </w:pPr>
      <w:r w:rsidRPr="00C61AFC">
        <w:rPr>
          <w:rFonts w:ascii="Calibri" w:eastAsia="Calibri" w:hAnsi="Calibri" w:cs="Times New Roman"/>
          <w:i/>
          <w:color w:val="auto"/>
          <w:sz w:val="18"/>
          <w:szCs w:val="18"/>
          <w:lang w:eastAsia="en-US"/>
        </w:rPr>
        <w:t>Community Action Partnership of NW MT (CAPNM) is an equal opportunity provider and employer.</w:t>
      </w:r>
    </w:p>
    <w:p w:rsidR="00C61AFC" w:rsidRPr="00C61AFC" w:rsidRDefault="00C61AFC" w:rsidP="00C61AFC">
      <w:pPr>
        <w:spacing w:after="160" w:line="259" w:lineRule="auto"/>
        <w:contextualSpacing w:val="0"/>
        <w:jc w:val="center"/>
        <w:rPr>
          <w:rFonts w:ascii="Calibri" w:eastAsia="Calibri" w:hAnsi="Calibri" w:cs="Times New Roman"/>
          <w:i/>
          <w:color w:val="auto"/>
          <w:sz w:val="18"/>
          <w:szCs w:val="18"/>
          <w:lang w:eastAsia="en-US"/>
        </w:rPr>
      </w:pPr>
      <w:r w:rsidRPr="00C61AFC">
        <w:rPr>
          <w:rFonts w:ascii="Calibri" w:eastAsia="Calibri" w:hAnsi="Calibri" w:cs="Times New Roman"/>
          <w:i/>
          <w:color w:val="auto"/>
          <w:sz w:val="18"/>
          <w:szCs w:val="18"/>
          <w:lang w:eastAsia="en-US"/>
        </w:rPr>
        <w:t>CAPNM does not discriminate against any person on the basis of age, sex, race, religion, national origin, sexual orientation, gender identity or disability with respect to employment, volunteer participation or the provision of services.</w:t>
      </w:r>
    </w:p>
    <w:p w:rsidR="00C61AFC" w:rsidRPr="00C61AFC" w:rsidRDefault="00C61AFC" w:rsidP="00C61AFC">
      <w:pPr>
        <w:autoSpaceDE w:val="0"/>
        <w:autoSpaceDN w:val="0"/>
        <w:adjustRightInd w:val="0"/>
        <w:spacing w:line="240" w:lineRule="auto"/>
        <w:contextualSpacing w:val="0"/>
        <w:jc w:val="center"/>
        <w:rPr>
          <w:rFonts w:ascii="Calibri" w:eastAsia="Calibri" w:hAnsi="Calibri" w:cs="Formata"/>
          <w:i/>
          <w:color w:val="000000"/>
          <w:sz w:val="18"/>
          <w:szCs w:val="18"/>
          <w:lang w:eastAsia="en-US"/>
        </w:rPr>
      </w:pPr>
      <w:r w:rsidRPr="00C61AFC">
        <w:rPr>
          <w:rFonts w:ascii="Calibri" w:eastAsia="Calibri" w:hAnsi="Calibri" w:cs="Formata"/>
          <w:i/>
          <w:color w:val="000000"/>
          <w:sz w:val="18"/>
          <w:szCs w:val="18"/>
          <w:lang w:eastAsia="en-US"/>
        </w:rPr>
        <w:t>This project is funded in whole or in part under a contract with the Montana Department of Public Health and Human Services. The statements herein do not necessarily reflect the opinion of the Department.</w:t>
      </w:r>
    </w:p>
    <w:bookmarkEnd w:id="0"/>
    <w:p w:rsidR="00D55CBC" w:rsidRPr="00D55CBC" w:rsidRDefault="00D55CBC" w:rsidP="00D55CBC"/>
    <w:sectPr w:rsidR="00D55CBC" w:rsidRPr="00D55CBC" w:rsidSect="00536B7F">
      <w:headerReference w:type="default" r:id="rId42"/>
      <w:pgSz w:w="12240" w:h="15840" w:code="1"/>
      <w:pgMar w:top="720" w:right="720" w:bottom="720" w:left="720"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17F5" w:rsidRDefault="009117F5" w:rsidP="00A91D75">
      <w:r>
        <w:separator/>
      </w:r>
    </w:p>
  </w:endnote>
  <w:endnote w:type="continuationSeparator" w:id="0">
    <w:p w:rsidR="009117F5" w:rsidRDefault="009117F5"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ormata">
    <w:altName w:val="Formata"/>
    <w:panose1 w:val="020B05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17F5" w:rsidRDefault="009117F5" w:rsidP="00A91D75">
      <w:r>
        <w:separator/>
      </w:r>
    </w:p>
  </w:footnote>
  <w:footnote w:type="continuationSeparator" w:id="0">
    <w:p w:rsidR="009117F5" w:rsidRDefault="009117F5" w:rsidP="00A91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9117F5" w:rsidTr="00A7217A">
      <w:trPr>
        <w:trHeight w:val="1060"/>
      </w:trPr>
      <w:tc>
        <w:tcPr>
          <w:tcW w:w="5861" w:type="dxa"/>
        </w:tcPr>
        <w:p w:rsidR="009117F5" w:rsidRDefault="009117F5"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A0BDAF"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9117F5" w:rsidRDefault="009117F5"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17F5" w:rsidRPr="00D476F7" w:rsidRDefault="009117F5"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D31611">
                                  <w:rPr>
                                    <w:noProof/>
                                    <w:color w:val="FFFFFF" w:themeColor="background1"/>
                                  </w:rPr>
                                  <w:t>8</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1"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rsidR="009117F5" w:rsidRPr="00D476F7" w:rsidRDefault="009117F5"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D31611">
                            <w:rPr>
                              <w:noProof/>
                              <w:color w:val="FFFFFF" w:themeColor="background1"/>
                            </w:rPr>
                            <w:t>8</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14817101" wp14:editId="44D8F22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9117F5" w:rsidRPr="008759A8" w:rsidRDefault="009117F5"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817101" id="Rectangle: Single Corner Snipped 15" o:spid="_x0000_s1032"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rsidR="00CA4E70" w:rsidRPr="008759A8" w:rsidRDefault="00CA4E70"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0527946"/>
    <w:multiLevelType w:val="hybridMultilevel"/>
    <w:tmpl w:val="766E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E0023D"/>
    <w:multiLevelType w:val="hybridMultilevel"/>
    <w:tmpl w:val="D4E4E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8E5092D"/>
    <w:multiLevelType w:val="hybridMultilevel"/>
    <w:tmpl w:val="FF0AE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4C33DF6"/>
    <w:multiLevelType w:val="hybridMultilevel"/>
    <w:tmpl w:val="5ACC9A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4" w15:restartNumberingAfterBreak="0">
    <w:nsid w:val="63F20290"/>
    <w:multiLevelType w:val="hybridMultilevel"/>
    <w:tmpl w:val="EB188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D256C42"/>
    <w:multiLevelType w:val="hybridMultilevel"/>
    <w:tmpl w:val="FF9E0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7"/>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7"/>
  </w:num>
  <w:num w:numId="10">
    <w:abstractNumId w:val="13"/>
  </w:num>
  <w:num w:numId="11">
    <w:abstractNumId w:val="13"/>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13"/>
  </w:num>
  <w:num w:numId="13">
    <w:abstractNumId w:val="13"/>
  </w:num>
  <w:num w:numId="14">
    <w:abstractNumId w:val="13"/>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13"/>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12"/>
  </w:num>
  <w:num w:numId="22">
    <w:abstractNumId w:val="8"/>
  </w:num>
  <w:num w:numId="23">
    <w:abstractNumId w:val="5"/>
  </w:num>
  <w:num w:numId="24">
    <w:abstractNumId w:val="1"/>
  </w:num>
  <w:num w:numId="25">
    <w:abstractNumId w:val="11"/>
  </w:num>
  <w:num w:numId="26">
    <w:abstractNumId w:val="15"/>
  </w:num>
  <w:num w:numId="27">
    <w:abstractNumId w:val="6"/>
  </w:num>
  <w:num w:numId="28">
    <w:abstractNumId w:val="9"/>
  </w:num>
  <w:num w:numId="29">
    <w:abstractNumId w:val="16"/>
  </w:num>
  <w:num w:numId="30">
    <w:abstractNumId w:val="4"/>
  </w:num>
  <w:num w:numId="31">
    <w:abstractNumId w:val="14"/>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96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1280"/>
    <w:rsid w:val="00014BAD"/>
    <w:rsid w:val="0002111D"/>
    <w:rsid w:val="00022F24"/>
    <w:rsid w:val="00036776"/>
    <w:rsid w:val="00083D76"/>
    <w:rsid w:val="000A7EBA"/>
    <w:rsid w:val="000D603F"/>
    <w:rsid w:val="001200D1"/>
    <w:rsid w:val="00135E7A"/>
    <w:rsid w:val="00172086"/>
    <w:rsid w:val="00184B35"/>
    <w:rsid w:val="001865F2"/>
    <w:rsid w:val="001E59F3"/>
    <w:rsid w:val="001F5C0D"/>
    <w:rsid w:val="002063EE"/>
    <w:rsid w:val="00226FF2"/>
    <w:rsid w:val="00234793"/>
    <w:rsid w:val="00313FC1"/>
    <w:rsid w:val="00342438"/>
    <w:rsid w:val="00393495"/>
    <w:rsid w:val="003F3DD1"/>
    <w:rsid w:val="003F429C"/>
    <w:rsid w:val="00457A79"/>
    <w:rsid w:val="004C2C6B"/>
    <w:rsid w:val="004C765C"/>
    <w:rsid w:val="00504873"/>
    <w:rsid w:val="00536B7F"/>
    <w:rsid w:val="00551728"/>
    <w:rsid w:val="00577305"/>
    <w:rsid w:val="005C2E0B"/>
    <w:rsid w:val="005C6970"/>
    <w:rsid w:val="005F22CC"/>
    <w:rsid w:val="00621E76"/>
    <w:rsid w:val="00712980"/>
    <w:rsid w:val="00735C8A"/>
    <w:rsid w:val="00760843"/>
    <w:rsid w:val="007B0DFA"/>
    <w:rsid w:val="007E14C3"/>
    <w:rsid w:val="007E5E59"/>
    <w:rsid w:val="00823D33"/>
    <w:rsid w:val="008424EF"/>
    <w:rsid w:val="008507CA"/>
    <w:rsid w:val="00870736"/>
    <w:rsid w:val="008759A8"/>
    <w:rsid w:val="00881DB6"/>
    <w:rsid w:val="008B46AB"/>
    <w:rsid w:val="008E707B"/>
    <w:rsid w:val="0090437B"/>
    <w:rsid w:val="009117F5"/>
    <w:rsid w:val="009210A6"/>
    <w:rsid w:val="00924378"/>
    <w:rsid w:val="0093029C"/>
    <w:rsid w:val="00944D7A"/>
    <w:rsid w:val="009827A8"/>
    <w:rsid w:val="009A0F76"/>
    <w:rsid w:val="009A5ED4"/>
    <w:rsid w:val="009B1084"/>
    <w:rsid w:val="00A03BCD"/>
    <w:rsid w:val="00A368A2"/>
    <w:rsid w:val="00A469ED"/>
    <w:rsid w:val="00A7217A"/>
    <w:rsid w:val="00A86068"/>
    <w:rsid w:val="00A91D75"/>
    <w:rsid w:val="00AB2052"/>
    <w:rsid w:val="00AC07A1"/>
    <w:rsid w:val="00AC343A"/>
    <w:rsid w:val="00AC3747"/>
    <w:rsid w:val="00B54544"/>
    <w:rsid w:val="00B94EEF"/>
    <w:rsid w:val="00BC69C1"/>
    <w:rsid w:val="00C13DB8"/>
    <w:rsid w:val="00C34C2A"/>
    <w:rsid w:val="00C50FEA"/>
    <w:rsid w:val="00C5146B"/>
    <w:rsid w:val="00C61AFC"/>
    <w:rsid w:val="00C6323A"/>
    <w:rsid w:val="00C87193"/>
    <w:rsid w:val="00C96AD1"/>
    <w:rsid w:val="00CA4E70"/>
    <w:rsid w:val="00CA7158"/>
    <w:rsid w:val="00CB27A1"/>
    <w:rsid w:val="00CF5E20"/>
    <w:rsid w:val="00D06F90"/>
    <w:rsid w:val="00D31611"/>
    <w:rsid w:val="00D476F7"/>
    <w:rsid w:val="00D55CBC"/>
    <w:rsid w:val="00D63B34"/>
    <w:rsid w:val="00D64164"/>
    <w:rsid w:val="00D8631A"/>
    <w:rsid w:val="00D87CD8"/>
    <w:rsid w:val="00DF1CFA"/>
    <w:rsid w:val="00E07B4C"/>
    <w:rsid w:val="00E426EE"/>
    <w:rsid w:val="00E429D3"/>
    <w:rsid w:val="00E523C3"/>
    <w:rsid w:val="00E5388E"/>
    <w:rsid w:val="00E6016B"/>
    <w:rsid w:val="00E6669C"/>
    <w:rsid w:val="00E71280"/>
    <w:rsid w:val="00E87AF4"/>
    <w:rsid w:val="00E94B95"/>
    <w:rsid w:val="00EA2DC3"/>
    <w:rsid w:val="00ED2E0E"/>
    <w:rsid w:val="00ED6905"/>
    <w:rsid w:val="00EF178B"/>
    <w:rsid w:val="00EF64C7"/>
    <w:rsid w:val="00F22851"/>
    <w:rsid w:val="00F3792B"/>
    <w:rsid w:val="00F63EAE"/>
    <w:rsid w:val="00F8492C"/>
    <w:rsid w:val="00FB2045"/>
    <w:rsid w:val="00FE0D74"/>
    <w:rsid w:val="00FE173A"/>
    <w:rsid w:val="00FE3D2C"/>
    <w:rsid w:val="00FF5CC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97"/>
    <o:shapelayout v:ext="edit">
      <o:idmap v:ext="edit" data="1"/>
    </o:shapelayout>
  </w:shapeDefaults>
  <w:decimalSymbol w:val="."/>
  <w:listSeparator w:val=","/>
  <w15:docId w15:val="{590794D6-2E28-45A6-A278-A58A65DA3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table" w:customStyle="1" w:styleId="TableGrid1">
    <w:name w:val="Table Grid1"/>
    <w:basedOn w:val="TableNormal"/>
    <w:next w:val="TableGrid"/>
    <w:uiPriority w:val="39"/>
    <w:rsid w:val="009827A8"/>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57A79"/>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34C2A"/>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F5CCC"/>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173A"/>
    <w:pPr>
      <w:autoSpaceDE w:val="0"/>
      <w:autoSpaceDN w:val="0"/>
      <w:adjustRightInd w:val="0"/>
      <w:spacing w:after="0" w:line="240" w:lineRule="auto"/>
    </w:pPr>
    <w:rPr>
      <w:rFonts w:ascii="Formata" w:hAnsi="Formata" w:cs="Formata"/>
      <w:color w:val="000000"/>
      <w:sz w:val="24"/>
      <w:szCs w:val="24"/>
      <w:lang w:eastAsia="en-US"/>
    </w:rPr>
  </w:style>
  <w:style w:type="numbering" w:customStyle="1" w:styleId="NoList1">
    <w:name w:val="No List1"/>
    <w:next w:val="NoList"/>
    <w:uiPriority w:val="99"/>
    <w:semiHidden/>
    <w:unhideWhenUsed/>
    <w:rsid w:val="00C61AFC"/>
  </w:style>
  <w:style w:type="table" w:customStyle="1" w:styleId="TableGrid5">
    <w:name w:val="Table Grid5"/>
    <w:basedOn w:val="TableNormal"/>
    <w:next w:val="TableGrid"/>
    <w:uiPriority w:val="39"/>
    <w:rsid w:val="00C61AFC"/>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next w:val="ListParagraph"/>
    <w:uiPriority w:val="34"/>
    <w:qFormat/>
    <w:rsid w:val="00C61AFC"/>
    <w:pPr>
      <w:spacing w:after="160" w:line="259" w:lineRule="auto"/>
      <w:ind w:left="720"/>
    </w:pPr>
    <w:rPr>
      <w:color w:val="auto"/>
      <w:sz w:val="22"/>
      <w:szCs w:val="22"/>
      <w:lang w:eastAsia="en-US"/>
    </w:rPr>
  </w:style>
  <w:style w:type="paragraph" w:styleId="ListParagraph">
    <w:name w:val="List Paragraph"/>
    <w:basedOn w:val="Normal"/>
    <w:uiPriority w:val="34"/>
    <w:semiHidden/>
    <w:qFormat/>
    <w:rsid w:val="00C61AFC"/>
    <w:pPr>
      <w:ind w:left="720"/>
    </w:pPr>
  </w:style>
  <w:style w:type="table" w:customStyle="1" w:styleId="TableGrid6">
    <w:name w:val="Table Grid6"/>
    <w:basedOn w:val="TableNormal"/>
    <w:next w:val="TableGrid"/>
    <w:uiPriority w:val="39"/>
    <w:rsid w:val="00022F24"/>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7.emf"/><Relationship Id="rId26" Type="http://schemas.openxmlformats.org/officeDocument/2006/relationships/chart" Target="charts/chart9.xml"/><Relationship Id="rId39"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16.emf"/><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6.JPG"/><Relationship Id="rId25" Type="http://schemas.openxmlformats.org/officeDocument/2006/relationships/chart" Target="charts/chart8.xml"/><Relationship Id="rId33" Type="http://schemas.openxmlformats.org/officeDocument/2006/relationships/image" Target="media/image15.emf"/><Relationship Id="rId38"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5.xml"/><Relationship Id="rId29" Type="http://schemas.openxmlformats.org/officeDocument/2006/relationships/image" Target="media/image11.JPG"/><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chart" Target="charts/chart7.xml"/><Relationship Id="rId32" Type="http://schemas.openxmlformats.org/officeDocument/2006/relationships/image" Target="media/image14.JPG"/><Relationship Id="rId37" Type="http://schemas.openxmlformats.org/officeDocument/2006/relationships/image" Target="media/image19.emf"/><Relationship Id="rId40"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0.emf"/><Relationship Id="rId28" Type="http://schemas.openxmlformats.org/officeDocument/2006/relationships/chart" Target="charts/chart11.xml"/><Relationship Id="rId36" Type="http://schemas.openxmlformats.org/officeDocument/2006/relationships/image" Target="media/image18.emf"/><Relationship Id="rId10" Type="http://schemas.openxmlformats.org/officeDocument/2006/relationships/image" Target="media/image3.png"/><Relationship Id="rId19" Type="http://schemas.openxmlformats.org/officeDocument/2006/relationships/image" Target="media/image8.JPG"/><Relationship Id="rId31" Type="http://schemas.openxmlformats.org/officeDocument/2006/relationships/image" Target="media/image13.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9.jpg"/><Relationship Id="rId27" Type="http://schemas.openxmlformats.org/officeDocument/2006/relationships/chart" Target="charts/chart10.xml"/><Relationship Id="rId30" Type="http://schemas.openxmlformats.org/officeDocument/2006/relationships/image" Target="media/image12.jpg"/><Relationship Id="rId35" Type="http://schemas.openxmlformats.org/officeDocument/2006/relationships/image" Target="media/image17.emf"/><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diaz\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Difference of Clients Served: </a:t>
            </a:r>
            <a:r>
              <a:rPr lang="en-US" b="1"/>
              <a:t>PY 16-17 Flathead County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Select Service Outcomes</c:v>
                </c:pt>
              </c:strCache>
            </c:strRef>
          </c:tx>
          <c:spPr>
            <a:solidFill>
              <a:schemeClr val="accent2"/>
            </a:solidFill>
            <a:ln>
              <a:noFill/>
            </a:ln>
            <a:effectLst/>
          </c:spPr>
          <c:invertIfNegative val="0"/>
          <c:cat>
            <c:strRef>
              <c:f>Sheet1!$A$2:$A$12</c:f>
              <c:strCache>
                <c:ptCount val="11"/>
                <c:pt idx="0">
                  <c:v>WX</c:v>
                </c:pt>
                <c:pt idx="1">
                  <c:v>Sec 8/811</c:v>
                </c:pt>
                <c:pt idx="2">
                  <c:v>NSP/SH</c:v>
                </c:pt>
                <c:pt idx="3">
                  <c:v>LIEAP</c:v>
                </c:pt>
                <c:pt idx="4">
                  <c:v>Energy Share</c:v>
                </c:pt>
                <c:pt idx="5">
                  <c:v>Homeless Services</c:v>
                </c:pt>
                <c:pt idx="6">
                  <c:v>Housing Counseling</c:v>
                </c:pt>
                <c:pt idx="7">
                  <c:v>First Time Homebuyer</c:v>
                </c:pt>
                <c:pt idx="8">
                  <c:v>Financial Skill Building</c:v>
                </c:pt>
                <c:pt idx="9">
                  <c:v>Displaced Homemaker</c:v>
                </c:pt>
                <c:pt idx="10">
                  <c:v>Pathways</c:v>
                </c:pt>
              </c:strCache>
            </c:strRef>
          </c:cat>
          <c:val>
            <c:numRef>
              <c:f>Sheet1!$B$2:$B$12</c:f>
              <c:numCache>
                <c:formatCode>General</c:formatCode>
                <c:ptCount val="11"/>
                <c:pt idx="0">
                  <c:v>-22</c:v>
                </c:pt>
                <c:pt idx="1">
                  <c:v>-0.4</c:v>
                </c:pt>
                <c:pt idx="2">
                  <c:v>267</c:v>
                </c:pt>
                <c:pt idx="3">
                  <c:v>-51</c:v>
                </c:pt>
                <c:pt idx="4">
                  <c:v>-41</c:v>
                </c:pt>
                <c:pt idx="5">
                  <c:v>-41</c:v>
                </c:pt>
                <c:pt idx="9">
                  <c:v>-9</c:v>
                </c:pt>
                <c:pt idx="10">
                  <c:v>-32</c:v>
                </c:pt>
              </c:numCache>
            </c:numRef>
          </c:val>
        </c:ser>
        <c:dLbls>
          <c:showLegendKey val="0"/>
          <c:showVal val="0"/>
          <c:showCatName val="0"/>
          <c:showSerName val="0"/>
          <c:showPercent val="0"/>
          <c:showBubbleSize val="0"/>
        </c:dLbls>
        <c:gapWidth val="219"/>
        <c:overlap val="-27"/>
        <c:axId val="370580648"/>
        <c:axId val="370578296"/>
      </c:barChart>
      <c:catAx>
        <c:axId val="370580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78296"/>
        <c:crosses val="autoZero"/>
        <c:auto val="1"/>
        <c:lblAlgn val="ctr"/>
        <c:lblOffset val="100"/>
        <c:noMultiLvlLbl val="0"/>
      </c:catAx>
      <c:valAx>
        <c:axId val="370578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806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 of Housing Units Overcrowded</c:v>
                </c:pt>
              </c:strCache>
            </c:strRef>
          </c:tx>
          <c:spPr>
            <a:solidFill>
              <a:schemeClr val="accent1"/>
            </a:solidFill>
            <a:ln>
              <a:noFill/>
            </a:ln>
            <a:effectLst/>
          </c:spPr>
          <c:invertIfNegative val="0"/>
          <c:cat>
            <c:strRef>
              <c:f>Sheet1!$A$2:$A$5</c:f>
              <c:strCache>
                <c:ptCount val="4"/>
                <c:pt idx="0">
                  <c:v>Flathead</c:v>
                </c:pt>
                <c:pt idx="1">
                  <c:v>Lake</c:v>
                </c:pt>
                <c:pt idx="2">
                  <c:v>Lincoln</c:v>
                </c:pt>
                <c:pt idx="3">
                  <c:v>Sanders</c:v>
                </c:pt>
              </c:strCache>
            </c:strRef>
          </c:cat>
          <c:val>
            <c:numRef>
              <c:f>Sheet1!$B$2:$B$5</c:f>
              <c:numCache>
                <c:formatCode>0.00%</c:formatCode>
                <c:ptCount val="4"/>
                <c:pt idx="0">
                  <c:v>1.95E-2</c:v>
                </c:pt>
                <c:pt idx="1">
                  <c:v>5.0799999999999998E-2</c:v>
                </c:pt>
                <c:pt idx="2">
                  <c:v>1.8599999999999998E-2</c:v>
                </c:pt>
                <c:pt idx="3">
                  <c:v>2.06E-2</c:v>
                </c:pt>
              </c:numCache>
            </c:numRef>
          </c:val>
        </c:ser>
        <c:dLbls>
          <c:showLegendKey val="0"/>
          <c:showVal val="0"/>
          <c:showCatName val="0"/>
          <c:showSerName val="0"/>
          <c:showPercent val="0"/>
          <c:showBubbleSize val="0"/>
        </c:dLbls>
        <c:gapWidth val="219"/>
        <c:overlap val="-27"/>
        <c:axId val="525755128"/>
        <c:axId val="525748072"/>
      </c:barChart>
      <c:catAx>
        <c:axId val="525755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748072"/>
        <c:crosses val="autoZero"/>
        <c:auto val="1"/>
        <c:lblAlgn val="ctr"/>
        <c:lblOffset val="100"/>
        <c:noMultiLvlLbl val="0"/>
      </c:catAx>
      <c:valAx>
        <c:axId val="5257480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755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All Ages/Rate (Poverty)</c:v>
                </c:pt>
              </c:strCache>
            </c:strRef>
          </c:tx>
          <c:spPr>
            <a:solidFill>
              <a:schemeClr val="accent1"/>
            </a:solidFill>
            <a:ln>
              <a:noFill/>
            </a:ln>
            <a:effectLst/>
          </c:spPr>
          <c:invertIfNegative val="0"/>
          <c:cat>
            <c:strRef>
              <c:f>Sheet1!$A$2:$A$5</c:f>
              <c:strCache>
                <c:ptCount val="4"/>
                <c:pt idx="0">
                  <c:v>Flathead</c:v>
                </c:pt>
                <c:pt idx="1">
                  <c:v>Lake</c:v>
                </c:pt>
                <c:pt idx="2">
                  <c:v>Lincoln</c:v>
                </c:pt>
                <c:pt idx="3">
                  <c:v>Sanders</c:v>
                </c:pt>
              </c:strCache>
            </c:strRef>
          </c:cat>
          <c:val>
            <c:numRef>
              <c:f>Sheet1!$B$2:$B$5</c:f>
              <c:numCache>
                <c:formatCode>0.00%</c:formatCode>
                <c:ptCount val="4"/>
                <c:pt idx="0">
                  <c:v>0.13769999999999999</c:v>
                </c:pt>
                <c:pt idx="1">
                  <c:v>0.21440000000000001</c:v>
                </c:pt>
                <c:pt idx="2">
                  <c:v>0.17899999999999999</c:v>
                </c:pt>
                <c:pt idx="3">
                  <c:v>0.223</c:v>
                </c:pt>
              </c:numCache>
            </c:numRef>
          </c:val>
        </c:ser>
        <c:dLbls>
          <c:showLegendKey val="0"/>
          <c:showVal val="0"/>
          <c:showCatName val="0"/>
          <c:showSerName val="0"/>
          <c:showPercent val="0"/>
          <c:showBubbleSize val="0"/>
        </c:dLbls>
        <c:gapWidth val="219"/>
        <c:overlap val="-27"/>
        <c:axId val="525751600"/>
        <c:axId val="525749640"/>
      </c:barChart>
      <c:catAx>
        <c:axId val="52575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749640"/>
        <c:crosses val="autoZero"/>
        <c:auto val="1"/>
        <c:lblAlgn val="ctr"/>
        <c:lblOffset val="100"/>
        <c:noMultiLvlLbl val="0"/>
      </c:catAx>
      <c:valAx>
        <c:axId val="525749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7516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Difference of Clients</a:t>
            </a:r>
            <a:r>
              <a:rPr lang="en-US" baseline="0"/>
              <a:t> Served: </a:t>
            </a:r>
            <a:r>
              <a:rPr lang="en-US" b="1" baseline="0"/>
              <a:t>PY 16-17 Lake County</a:t>
            </a:r>
            <a:endParaRPr lang="en-US" b="1"/>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Select Service Outcome</c:v>
                </c:pt>
              </c:strCache>
            </c:strRef>
          </c:tx>
          <c:spPr>
            <a:solidFill>
              <a:schemeClr val="accent1"/>
            </a:solidFill>
            <a:ln>
              <a:noFill/>
            </a:ln>
            <a:effectLst/>
          </c:spPr>
          <c:invertIfNegative val="0"/>
          <c:cat>
            <c:strRef>
              <c:f>Sheet1!$A$2:$A$12</c:f>
              <c:strCache>
                <c:ptCount val="11"/>
                <c:pt idx="0">
                  <c:v>WX</c:v>
                </c:pt>
                <c:pt idx="1">
                  <c:v>Sec 8/811</c:v>
                </c:pt>
                <c:pt idx="2">
                  <c:v>NSP/SH</c:v>
                </c:pt>
                <c:pt idx="3">
                  <c:v>LIEAP</c:v>
                </c:pt>
                <c:pt idx="4">
                  <c:v>Energy Share</c:v>
                </c:pt>
                <c:pt idx="5">
                  <c:v>Homeless Services</c:v>
                </c:pt>
                <c:pt idx="6">
                  <c:v>Housing Counseling</c:v>
                </c:pt>
                <c:pt idx="7">
                  <c:v>First Time Homebuyer</c:v>
                </c:pt>
                <c:pt idx="8">
                  <c:v>Financial Skill Building</c:v>
                </c:pt>
                <c:pt idx="9">
                  <c:v>Displaced Homemaker</c:v>
                </c:pt>
                <c:pt idx="10">
                  <c:v>Pathways</c:v>
                </c:pt>
              </c:strCache>
            </c:strRef>
          </c:cat>
          <c:val>
            <c:numRef>
              <c:f>Sheet1!$B$2:$B$12</c:f>
              <c:numCache>
                <c:formatCode>General</c:formatCode>
                <c:ptCount val="11"/>
                <c:pt idx="0">
                  <c:v>-32</c:v>
                </c:pt>
                <c:pt idx="1">
                  <c:v>-15</c:v>
                </c:pt>
                <c:pt idx="3">
                  <c:v>-48</c:v>
                </c:pt>
                <c:pt idx="4">
                  <c:v>-63</c:v>
                </c:pt>
                <c:pt idx="5">
                  <c:v>177</c:v>
                </c:pt>
              </c:numCache>
            </c:numRef>
          </c:val>
        </c:ser>
        <c:dLbls>
          <c:showLegendKey val="0"/>
          <c:showVal val="0"/>
          <c:showCatName val="0"/>
          <c:showSerName val="0"/>
          <c:showPercent val="0"/>
          <c:showBubbleSize val="0"/>
        </c:dLbls>
        <c:gapWidth val="219"/>
        <c:overlap val="-27"/>
        <c:axId val="370573200"/>
        <c:axId val="370573984"/>
      </c:barChart>
      <c:catAx>
        <c:axId val="3705732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73984"/>
        <c:crosses val="autoZero"/>
        <c:auto val="1"/>
        <c:lblAlgn val="ctr"/>
        <c:lblOffset val="100"/>
        <c:noMultiLvlLbl val="0"/>
      </c:catAx>
      <c:valAx>
        <c:axId val="37057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732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Difference</a:t>
            </a:r>
            <a:r>
              <a:rPr lang="en-US" baseline="0"/>
              <a:t> of Clients Served: </a:t>
            </a:r>
            <a:r>
              <a:rPr lang="en-US" b="1" baseline="0"/>
              <a:t>PY 16-17 Lincoln County</a:t>
            </a:r>
            <a:endParaRPr lang="en-US" b="1"/>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Select Service Outcome</c:v>
                </c:pt>
              </c:strCache>
            </c:strRef>
          </c:tx>
          <c:spPr>
            <a:solidFill>
              <a:schemeClr val="accent2"/>
            </a:solidFill>
            <a:ln>
              <a:noFill/>
            </a:ln>
            <a:effectLst/>
          </c:spPr>
          <c:invertIfNegative val="0"/>
          <c:cat>
            <c:strRef>
              <c:f>Sheet1!$A$2:$A$12</c:f>
              <c:strCache>
                <c:ptCount val="11"/>
                <c:pt idx="0">
                  <c:v>WX</c:v>
                </c:pt>
                <c:pt idx="1">
                  <c:v>Sec 8/811</c:v>
                </c:pt>
                <c:pt idx="2">
                  <c:v>NSP</c:v>
                </c:pt>
                <c:pt idx="3">
                  <c:v>LIEAP</c:v>
                </c:pt>
                <c:pt idx="4">
                  <c:v>Energy Share</c:v>
                </c:pt>
                <c:pt idx="5">
                  <c:v>Homeless Services</c:v>
                </c:pt>
                <c:pt idx="6">
                  <c:v>Housing Counseling</c:v>
                </c:pt>
                <c:pt idx="7">
                  <c:v>First Time Homebuyer</c:v>
                </c:pt>
                <c:pt idx="8">
                  <c:v>Financial Skill Building</c:v>
                </c:pt>
                <c:pt idx="9">
                  <c:v>Displaced Homemaker</c:v>
                </c:pt>
                <c:pt idx="10">
                  <c:v>Pathways</c:v>
                </c:pt>
              </c:strCache>
            </c:strRef>
          </c:cat>
          <c:val>
            <c:numRef>
              <c:f>Sheet1!$B$2:$B$12</c:f>
              <c:numCache>
                <c:formatCode>General</c:formatCode>
                <c:ptCount val="11"/>
                <c:pt idx="0">
                  <c:v>-36</c:v>
                </c:pt>
                <c:pt idx="1">
                  <c:v>0.04</c:v>
                </c:pt>
                <c:pt idx="2">
                  <c:v>0.04</c:v>
                </c:pt>
                <c:pt idx="3">
                  <c:v>-48</c:v>
                </c:pt>
                <c:pt idx="4">
                  <c:v>-28</c:v>
                </c:pt>
                <c:pt idx="5">
                  <c:v>-68</c:v>
                </c:pt>
                <c:pt idx="10">
                  <c:v>-47</c:v>
                </c:pt>
              </c:numCache>
            </c:numRef>
          </c:val>
        </c:ser>
        <c:dLbls>
          <c:showLegendKey val="0"/>
          <c:showVal val="0"/>
          <c:showCatName val="0"/>
          <c:showSerName val="0"/>
          <c:showPercent val="0"/>
          <c:showBubbleSize val="0"/>
        </c:dLbls>
        <c:gapWidth val="219"/>
        <c:overlap val="-27"/>
        <c:axId val="370577512"/>
        <c:axId val="370577904"/>
      </c:barChart>
      <c:catAx>
        <c:axId val="370577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77904"/>
        <c:crosses val="autoZero"/>
        <c:auto val="1"/>
        <c:lblAlgn val="ctr"/>
        <c:lblOffset val="100"/>
        <c:noMultiLvlLbl val="0"/>
      </c:catAx>
      <c:valAx>
        <c:axId val="370577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0577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Difference</a:t>
            </a:r>
            <a:r>
              <a:rPr lang="en-US" baseline="0"/>
              <a:t> of Clients Served: </a:t>
            </a:r>
            <a:r>
              <a:rPr lang="en-US" b="1" baseline="0"/>
              <a:t>PY 16-17 Sanders County</a:t>
            </a:r>
            <a:endParaRPr lang="en-US" b="1"/>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Select Service Outcome</c:v>
                </c:pt>
              </c:strCache>
            </c:strRef>
          </c:tx>
          <c:spPr>
            <a:solidFill>
              <a:schemeClr val="accent1"/>
            </a:solidFill>
            <a:ln>
              <a:noFill/>
            </a:ln>
            <a:effectLst/>
          </c:spPr>
          <c:invertIfNegative val="0"/>
          <c:cat>
            <c:strRef>
              <c:f>Sheet1!$A$2:$A$12</c:f>
              <c:strCache>
                <c:ptCount val="11"/>
                <c:pt idx="0">
                  <c:v>WX</c:v>
                </c:pt>
                <c:pt idx="1">
                  <c:v>Sec 8/811</c:v>
                </c:pt>
                <c:pt idx="2">
                  <c:v>NSP/SH</c:v>
                </c:pt>
                <c:pt idx="3">
                  <c:v>LIEAP</c:v>
                </c:pt>
                <c:pt idx="4">
                  <c:v>Energy Share</c:v>
                </c:pt>
                <c:pt idx="5">
                  <c:v>Homeless Services</c:v>
                </c:pt>
                <c:pt idx="6">
                  <c:v>Housing Counseling</c:v>
                </c:pt>
                <c:pt idx="7">
                  <c:v>First Time Homebuyer</c:v>
                </c:pt>
                <c:pt idx="8">
                  <c:v>Financial Skill Building</c:v>
                </c:pt>
                <c:pt idx="9">
                  <c:v>Displaced Homemaker</c:v>
                </c:pt>
                <c:pt idx="10">
                  <c:v>Pathways</c:v>
                </c:pt>
              </c:strCache>
            </c:strRef>
          </c:cat>
          <c:val>
            <c:numRef>
              <c:f>Sheet1!$B$2:$B$12</c:f>
              <c:numCache>
                <c:formatCode>General</c:formatCode>
                <c:ptCount val="11"/>
                <c:pt idx="0">
                  <c:v>-50</c:v>
                </c:pt>
                <c:pt idx="1">
                  <c:v>-8.6999999999999994E-2</c:v>
                </c:pt>
                <c:pt idx="2">
                  <c:v>1</c:v>
                </c:pt>
                <c:pt idx="3">
                  <c:v>-45</c:v>
                </c:pt>
                <c:pt idx="4">
                  <c:v>-7.0000000000000007E-2</c:v>
                </c:pt>
                <c:pt idx="5">
                  <c:v>-21</c:v>
                </c:pt>
              </c:numCache>
            </c:numRef>
          </c:val>
        </c:ser>
        <c:dLbls>
          <c:showLegendKey val="0"/>
          <c:showVal val="0"/>
          <c:showCatName val="0"/>
          <c:showSerName val="0"/>
          <c:showPercent val="0"/>
          <c:showBubbleSize val="0"/>
        </c:dLbls>
        <c:gapWidth val="219"/>
        <c:overlap val="-27"/>
        <c:axId val="601077464"/>
        <c:axId val="601080208"/>
      </c:barChart>
      <c:catAx>
        <c:axId val="601077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80208"/>
        <c:crosses val="autoZero"/>
        <c:auto val="1"/>
        <c:lblAlgn val="ctr"/>
        <c:lblOffset val="100"/>
        <c:noMultiLvlLbl val="0"/>
      </c:catAx>
      <c:valAx>
        <c:axId val="60108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74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Change in Average Annual Sales Prices: 2014-2016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Series 1</c:v>
                </c:pt>
              </c:strCache>
            </c:strRef>
          </c:tx>
          <c:spPr>
            <a:solidFill>
              <a:schemeClr val="accent1"/>
            </a:solidFill>
            <a:ln>
              <a:noFill/>
            </a:ln>
            <a:effectLst/>
          </c:spPr>
          <c:invertIfNegative val="0"/>
          <c:cat>
            <c:strRef>
              <c:f>Sheet1!$A$2:$A$8</c:f>
              <c:strCache>
                <c:ptCount val="4"/>
                <c:pt idx="0">
                  <c:v>Flathead County</c:v>
                </c:pt>
                <c:pt idx="1">
                  <c:v>Lake County</c:v>
                </c:pt>
                <c:pt idx="2">
                  <c:v>Lincoln County</c:v>
                </c:pt>
                <c:pt idx="3">
                  <c:v>Sanders County</c:v>
                </c:pt>
              </c:strCache>
            </c:strRef>
          </c:cat>
          <c:val>
            <c:numRef>
              <c:f>Sheet1!$B$2:$B$8</c:f>
              <c:numCache>
                <c:formatCode>General</c:formatCode>
                <c:ptCount val="7"/>
                <c:pt idx="0">
                  <c:v>19</c:v>
                </c:pt>
                <c:pt idx="1">
                  <c:v>10.7</c:v>
                </c:pt>
                <c:pt idx="2">
                  <c:v>16.899999999999999</c:v>
                </c:pt>
                <c:pt idx="3">
                  <c:v>23.7</c:v>
                </c:pt>
              </c:numCache>
            </c:numRef>
          </c:val>
        </c:ser>
        <c:ser>
          <c:idx val="1"/>
          <c:order val="1"/>
          <c:tx>
            <c:strRef>
              <c:f>Sheet1!$C$1</c:f>
              <c:strCache>
                <c:ptCount val="1"/>
                <c:pt idx="0">
                  <c:v>Column1</c:v>
                </c:pt>
              </c:strCache>
            </c:strRef>
          </c:tx>
          <c:spPr>
            <a:solidFill>
              <a:schemeClr val="accent2"/>
            </a:solidFill>
            <a:ln>
              <a:noFill/>
            </a:ln>
            <a:effectLst/>
          </c:spPr>
          <c:invertIfNegative val="0"/>
          <c:cat>
            <c:strRef>
              <c:f>Sheet1!$A$2:$A$8</c:f>
              <c:strCache>
                <c:ptCount val="4"/>
                <c:pt idx="0">
                  <c:v>Flathead County</c:v>
                </c:pt>
                <c:pt idx="1">
                  <c:v>Lake County</c:v>
                </c:pt>
                <c:pt idx="2">
                  <c:v>Lincoln County</c:v>
                </c:pt>
                <c:pt idx="3">
                  <c:v>Sanders County</c:v>
                </c:pt>
              </c:strCache>
            </c:strRef>
          </c:cat>
          <c:val>
            <c:numRef>
              <c:f>Sheet1!$C$2:$C$8</c:f>
              <c:numCache>
                <c:formatCode>General</c:formatCode>
                <c:ptCount val="7"/>
              </c:numCache>
            </c:numRef>
          </c:val>
        </c:ser>
        <c:ser>
          <c:idx val="2"/>
          <c:order val="2"/>
          <c:tx>
            <c:strRef>
              <c:f>Sheet1!$D$1</c:f>
              <c:strCache>
                <c:ptCount val="1"/>
                <c:pt idx="0">
                  <c:v>Column2</c:v>
                </c:pt>
              </c:strCache>
            </c:strRef>
          </c:tx>
          <c:spPr>
            <a:solidFill>
              <a:schemeClr val="accent3"/>
            </a:solidFill>
            <a:ln>
              <a:noFill/>
            </a:ln>
            <a:effectLst/>
          </c:spPr>
          <c:invertIfNegative val="0"/>
          <c:cat>
            <c:strRef>
              <c:f>Sheet1!$A$2:$A$8</c:f>
              <c:strCache>
                <c:ptCount val="4"/>
                <c:pt idx="0">
                  <c:v>Flathead County</c:v>
                </c:pt>
                <c:pt idx="1">
                  <c:v>Lake County</c:v>
                </c:pt>
                <c:pt idx="2">
                  <c:v>Lincoln County</c:v>
                </c:pt>
                <c:pt idx="3">
                  <c:v>Sanders County</c:v>
                </c:pt>
              </c:strCache>
            </c:strRef>
          </c:cat>
          <c:val>
            <c:numRef>
              <c:f>Sheet1!$D$2:$D$8</c:f>
              <c:numCache>
                <c:formatCode>General</c:formatCode>
                <c:ptCount val="7"/>
              </c:numCache>
            </c:numRef>
          </c:val>
        </c:ser>
        <c:dLbls>
          <c:showLegendKey val="0"/>
          <c:showVal val="0"/>
          <c:showCatName val="0"/>
          <c:showSerName val="0"/>
          <c:showPercent val="0"/>
          <c:showBubbleSize val="0"/>
        </c:dLbls>
        <c:gapWidth val="150"/>
        <c:overlap val="100"/>
        <c:axId val="601076288"/>
        <c:axId val="601073152"/>
      </c:barChart>
      <c:catAx>
        <c:axId val="60107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3152"/>
        <c:crosses val="autoZero"/>
        <c:auto val="1"/>
        <c:lblAlgn val="ctr"/>
        <c:lblOffset val="100"/>
        <c:noMultiLvlLbl val="0"/>
      </c:catAx>
      <c:valAx>
        <c:axId val="60107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62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Change</a:t>
            </a:r>
            <a:r>
              <a:rPr lang="en-US" baseline="0"/>
              <a:t> in Average Annual Wages: 2014-2016</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Column3</c:v>
                </c:pt>
              </c:strCache>
            </c:strRef>
          </c:tx>
          <c:spPr>
            <a:solidFill>
              <a:schemeClr val="accent1"/>
            </a:solidFill>
            <a:ln>
              <a:noFill/>
            </a:ln>
            <a:effectLst/>
          </c:spPr>
          <c:invertIfNegative val="0"/>
          <c:dPt>
            <c:idx val="4"/>
            <c:invertIfNegative val="0"/>
            <c:bubble3D val="0"/>
            <c:spPr>
              <a:solidFill>
                <a:srgbClr val="FFFFFF"/>
              </a:solidFill>
              <a:ln>
                <a:noFill/>
              </a:ln>
              <a:effectLst/>
            </c:spPr>
          </c:dPt>
          <c:cat>
            <c:strRef>
              <c:f>Sheet1!$A$2:$A$6</c:f>
              <c:strCache>
                <c:ptCount val="4"/>
                <c:pt idx="0">
                  <c:v>Flathead County</c:v>
                </c:pt>
                <c:pt idx="1">
                  <c:v>Lake County</c:v>
                </c:pt>
                <c:pt idx="2">
                  <c:v>Lincoln County</c:v>
                </c:pt>
                <c:pt idx="3">
                  <c:v>Sanders County</c:v>
                </c:pt>
              </c:strCache>
            </c:strRef>
          </c:cat>
          <c:val>
            <c:numRef>
              <c:f>Sheet1!$B$2:$B$6</c:f>
              <c:numCache>
                <c:formatCode>General</c:formatCode>
                <c:ptCount val="5"/>
                <c:pt idx="0">
                  <c:v>5.3</c:v>
                </c:pt>
                <c:pt idx="1">
                  <c:v>4.5</c:v>
                </c:pt>
                <c:pt idx="2">
                  <c:v>0.08</c:v>
                </c:pt>
                <c:pt idx="3">
                  <c:v>5.5</c:v>
                </c:pt>
                <c:pt idx="4">
                  <c:v>25</c:v>
                </c:pt>
              </c:numCache>
            </c:numRef>
          </c:val>
        </c:ser>
        <c:ser>
          <c:idx val="1"/>
          <c:order val="1"/>
          <c:tx>
            <c:strRef>
              <c:f>Sheet1!$C$1</c:f>
              <c:strCache>
                <c:ptCount val="1"/>
                <c:pt idx="0">
                  <c:v>Column1</c:v>
                </c:pt>
              </c:strCache>
            </c:strRef>
          </c:tx>
          <c:spPr>
            <a:solidFill>
              <a:schemeClr val="accent2"/>
            </a:solidFill>
            <a:ln>
              <a:noFill/>
            </a:ln>
            <a:effectLst/>
          </c:spPr>
          <c:invertIfNegative val="0"/>
          <c:cat>
            <c:strRef>
              <c:f>Sheet1!$A$2:$A$6</c:f>
              <c:strCache>
                <c:ptCount val="4"/>
                <c:pt idx="0">
                  <c:v>Flathead County</c:v>
                </c:pt>
                <c:pt idx="1">
                  <c:v>Lake County</c:v>
                </c:pt>
                <c:pt idx="2">
                  <c:v>Lincoln County</c:v>
                </c:pt>
                <c:pt idx="3">
                  <c:v>Sanders County</c:v>
                </c:pt>
              </c:strCache>
            </c:strRef>
          </c:cat>
          <c:val>
            <c:numRef>
              <c:f>Sheet1!$C$2:$C$6</c:f>
              <c:numCache>
                <c:formatCode>General</c:formatCode>
                <c:ptCount val="5"/>
              </c:numCache>
            </c:numRef>
          </c:val>
        </c:ser>
        <c:ser>
          <c:idx val="2"/>
          <c:order val="2"/>
          <c:tx>
            <c:strRef>
              <c:f>Sheet1!$D$1</c:f>
              <c:strCache>
                <c:ptCount val="1"/>
                <c:pt idx="0">
                  <c:v>Column2</c:v>
                </c:pt>
              </c:strCache>
            </c:strRef>
          </c:tx>
          <c:spPr>
            <a:solidFill>
              <a:schemeClr val="accent3"/>
            </a:solidFill>
            <a:ln>
              <a:noFill/>
            </a:ln>
            <a:effectLst/>
          </c:spPr>
          <c:invertIfNegative val="0"/>
          <c:cat>
            <c:strRef>
              <c:f>Sheet1!$A$2:$A$6</c:f>
              <c:strCache>
                <c:ptCount val="4"/>
                <c:pt idx="0">
                  <c:v>Flathead County</c:v>
                </c:pt>
                <c:pt idx="1">
                  <c:v>Lake County</c:v>
                </c:pt>
                <c:pt idx="2">
                  <c:v>Lincoln County</c:v>
                </c:pt>
                <c:pt idx="3">
                  <c:v>Sanders County</c:v>
                </c:pt>
              </c:strCache>
            </c:strRef>
          </c:cat>
          <c:val>
            <c:numRef>
              <c:f>Sheet1!$D$2:$D$6</c:f>
              <c:numCache>
                <c:formatCode>General</c:formatCode>
                <c:ptCount val="5"/>
              </c:numCache>
            </c:numRef>
          </c:val>
        </c:ser>
        <c:dLbls>
          <c:showLegendKey val="0"/>
          <c:showVal val="0"/>
          <c:showCatName val="0"/>
          <c:showSerName val="0"/>
          <c:showPercent val="0"/>
          <c:showBubbleSize val="0"/>
        </c:dLbls>
        <c:gapWidth val="150"/>
        <c:overlap val="100"/>
        <c:axId val="601077856"/>
        <c:axId val="601080600"/>
      </c:barChart>
      <c:catAx>
        <c:axId val="60107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80600"/>
        <c:crosses val="autoZero"/>
        <c:auto val="1"/>
        <c:lblAlgn val="ctr"/>
        <c:lblOffset val="100"/>
        <c:noMultiLvlLbl val="0"/>
      </c:catAx>
      <c:valAx>
        <c:axId val="601080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78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Population Change (2000-2016)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Population Change (2000-2016)</c:v>
                </c:pt>
              </c:strCache>
            </c:strRef>
          </c:tx>
          <c:spPr>
            <a:solidFill>
              <a:schemeClr val="accent1"/>
            </a:solidFill>
            <a:ln>
              <a:noFill/>
            </a:ln>
            <a:effectLst/>
          </c:spPr>
          <c:invertIfNegative val="0"/>
          <c:cat>
            <c:strRef>
              <c:f>Sheet1!$A$2:$A$5</c:f>
              <c:strCache>
                <c:ptCount val="4"/>
                <c:pt idx="0">
                  <c:v>Flathead</c:v>
                </c:pt>
                <c:pt idx="1">
                  <c:v>Lake </c:v>
                </c:pt>
                <c:pt idx="2">
                  <c:v>Lincoln</c:v>
                </c:pt>
                <c:pt idx="3">
                  <c:v>Sanders</c:v>
                </c:pt>
              </c:strCache>
            </c:strRef>
          </c:cat>
          <c:val>
            <c:numRef>
              <c:f>Sheet1!$B$2:$B$5</c:f>
              <c:numCache>
                <c:formatCode>0.00%</c:formatCode>
                <c:ptCount val="4"/>
                <c:pt idx="0">
                  <c:v>0.312</c:v>
                </c:pt>
                <c:pt idx="1">
                  <c:v>0.121</c:v>
                </c:pt>
                <c:pt idx="2">
                  <c:v>2.1000000000000001E-2</c:v>
                </c:pt>
                <c:pt idx="3">
                  <c:v>0.121</c:v>
                </c:pt>
              </c:numCache>
            </c:numRef>
          </c:val>
        </c:ser>
        <c:dLbls>
          <c:showLegendKey val="0"/>
          <c:showVal val="0"/>
          <c:showCatName val="0"/>
          <c:showSerName val="0"/>
          <c:showPercent val="0"/>
          <c:showBubbleSize val="0"/>
        </c:dLbls>
        <c:gapWidth val="219"/>
        <c:overlap val="-27"/>
        <c:axId val="601074328"/>
        <c:axId val="601074720"/>
      </c:barChart>
      <c:catAx>
        <c:axId val="60107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4720"/>
        <c:crosses val="autoZero"/>
        <c:auto val="1"/>
        <c:lblAlgn val="ctr"/>
        <c:lblOffset val="100"/>
        <c:noMultiLvlLbl val="0"/>
      </c:catAx>
      <c:valAx>
        <c:axId val="601074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43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Housing Cost Burden (% of Pop)</c:v>
                </c:pt>
              </c:strCache>
            </c:strRef>
          </c:tx>
          <c:spPr>
            <a:solidFill>
              <a:schemeClr val="accent1"/>
            </a:solidFill>
            <a:ln>
              <a:noFill/>
            </a:ln>
            <a:effectLst/>
          </c:spPr>
          <c:invertIfNegative val="0"/>
          <c:cat>
            <c:strRef>
              <c:f>Sheet1!$A$2:$A$5</c:f>
              <c:strCache>
                <c:ptCount val="4"/>
                <c:pt idx="0">
                  <c:v>Flathead</c:v>
                </c:pt>
                <c:pt idx="1">
                  <c:v>Lake</c:v>
                </c:pt>
                <c:pt idx="2">
                  <c:v>Lincoln</c:v>
                </c:pt>
                <c:pt idx="3">
                  <c:v>Sanders</c:v>
                </c:pt>
              </c:strCache>
            </c:strRef>
          </c:cat>
          <c:val>
            <c:numRef>
              <c:f>Sheet1!$B$2:$B$5</c:f>
              <c:numCache>
                <c:formatCode>0.00%</c:formatCode>
                <c:ptCount val="4"/>
                <c:pt idx="0">
                  <c:v>0.3306</c:v>
                </c:pt>
                <c:pt idx="1">
                  <c:v>0.2979</c:v>
                </c:pt>
                <c:pt idx="2">
                  <c:v>0.30830000000000002</c:v>
                </c:pt>
                <c:pt idx="3">
                  <c:v>0.3347</c:v>
                </c:pt>
              </c:numCache>
            </c:numRef>
          </c:val>
        </c:ser>
        <c:dLbls>
          <c:showLegendKey val="0"/>
          <c:showVal val="0"/>
          <c:showCatName val="0"/>
          <c:showSerName val="0"/>
          <c:showPercent val="0"/>
          <c:showBubbleSize val="0"/>
        </c:dLbls>
        <c:gapWidth val="219"/>
        <c:overlap val="-27"/>
        <c:axId val="601075504"/>
        <c:axId val="601075896"/>
      </c:barChart>
      <c:catAx>
        <c:axId val="60107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5896"/>
        <c:crosses val="autoZero"/>
        <c:auto val="1"/>
        <c:lblAlgn val="ctr"/>
        <c:lblOffset val="100"/>
        <c:noMultiLvlLbl val="0"/>
      </c:catAx>
      <c:valAx>
        <c:axId val="601075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5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Median Household Income</c:v>
                </c:pt>
              </c:strCache>
            </c:strRef>
          </c:tx>
          <c:spPr>
            <a:solidFill>
              <a:schemeClr val="accent1"/>
            </a:solidFill>
            <a:ln>
              <a:noFill/>
            </a:ln>
            <a:effectLst/>
          </c:spPr>
          <c:invertIfNegative val="0"/>
          <c:cat>
            <c:strRef>
              <c:f>Sheet1!$A$2:$A$5</c:f>
              <c:strCache>
                <c:ptCount val="4"/>
                <c:pt idx="0">
                  <c:v>Flathead</c:v>
                </c:pt>
                <c:pt idx="1">
                  <c:v>Lake</c:v>
                </c:pt>
                <c:pt idx="2">
                  <c:v>Lincoln</c:v>
                </c:pt>
                <c:pt idx="3">
                  <c:v>Sanders</c:v>
                </c:pt>
              </c:strCache>
            </c:strRef>
          </c:cat>
          <c:val>
            <c:numRef>
              <c:f>Sheet1!$B$2:$B$5</c:f>
              <c:numCache>
                <c:formatCode>"$"#,##0_);[Red]\("$"#,##0\)</c:formatCode>
                <c:ptCount val="4"/>
                <c:pt idx="0">
                  <c:v>60365</c:v>
                </c:pt>
                <c:pt idx="1">
                  <c:v>52807</c:v>
                </c:pt>
                <c:pt idx="2">
                  <c:v>45542</c:v>
                </c:pt>
                <c:pt idx="3">
                  <c:v>42946</c:v>
                </c:pt>
              </c:numCache>
            </c:numRef>
          </c:val>
        </c:ser>
        <c:dLbls>
          <c:showLegendKey val="0"/>
          <c:showVal val="0"/>
          <c:showCatName val="0"/>
          <c:showSerName val="0"/>
          <c:showPercent val="0"/>
          <c:showBubbleSize val="0"/>
        </c:dLbls>
        <c:gapWidth val="219"/>
        <c:overlap val="-27"/>
        <c:axId val="601078248"/>
        <c:axId val="601079032"/>
      </c:barChart>
      <c:catAx>
        <c:axId val="601078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9032"/>
        <c:crosses val="autoZero"/>
        <c:auto val="1"/>
        <c:lblAlgn val="ctr"/>
        <c:lblOffset val="100"/>
        <c:noMultiLvlLbl val="0"/>
      </c:catAx>
      <c:valAx>
        <c:axId val="601079032"/>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82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22</Pages>
  <Words>5370</Words>
  <Characters>30612</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Jackson Diaz</dc:creator>
  <cp:keywords/>
  <dc:description/>
  <cp:lastModifiedBy>Jackson Diaz</cp:lastModifiedBy>
  <cp:revision>3</cp:revision>
  <cp:lastPrinted>2018-05-22T20:07:00Z</cp:lastPrinted>
  <dcterms:created xsi:type="dcterms:W3CDTF">2018-06-26T20:18:00Z</dcterms:created>
  <dcterms:modified xsi:type="dcterms:W3CDTF">2018-06-28T18:14:00Z</dcterms:modified>
  <cp:contentStatus/>
  <cp:version/>
</cp:coreProperties>
</file>